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AE5DF"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VOM GERICHTSVOLLZIEHER AUSGESTELLT</w:t>
      </w:r>
    </w:p>
    <w:p w14:paraId="015AE5E0"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w:t>
      </w:r>
    </w:p>
    <w:p w14:paraId="015AE5E1"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An:</w:t>
      </w:r>
    </w:p>
    <w:p w14:paraId="015AE5E2"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Prof. Dr. B.J. Kullberg</w:t>
      </w:r>
    </w:p>
    <w:p w14:paraId="015AE5E3" w14:textId="77777777" w:rsidR="002C53C4" w:rsidRPr="00E91CB4" w:rsidRDefault="00E91CB4">
      <w:pPr>
        <w:shd w:val="clear" w:color="auto" w:fill="FFFFFF"/>
        <w:spacing w:after="0" w:line="240" w:lineRule="auto"/>
        <w:textAlignment w:val="baseline"/>
        <w:rPr>
          <w:lang w:val="nl-NL"/>
        </w:rPr>
      </w:pPr>
      <w:r w:rsidRPr="00E91CB4">
        <w:rPr>
          <w:rFonts w:ascii="Helvetica" w:eastAsia="Times New Roman" w:hAnsi="Helvetica" w:cs="Helvetica"/>
          <w:b/>
          <w:bCs/>
          <w:color w:val="000000"/>
          <w:sz w:val="24"/>
          <w:szCs w:val="24"/>
          <w:lang w:val="nl-NL" w:eastAsia="nl-NL"/>
        </w:rPr>
        <w:t>Drs. M.W.H. van Beek;</w:t>
      </w:r>
    </w:p>
    <w:p w14:paraId="015AE5E4" w14:textId="77777777" w:rsidR="002C53C4" w:rsidRPr="00E91CB4" w:rsidRDefault="00E91CB4">
      <w:pPr>
        <w:shd w:val="clear" w:color="auto" w:fill="FFFFFF"/>
        <w:spacing w:after="0" w:line="240" w:lineRule="auto"/>
        <w:textAlignment w:val="baseline"/>
        <w:rPr>
          <w:lang w:val="nl-NL"/>
        </w:rPr>
      </w:pPr>
      <w:r w:rsidRPr="00E91CB4">
        <w:rPr>
          <w:rFonts w:ascii="Helvetica" w:eastAsia="Times New Roman" w:hAnsi="Helvetica" w:cs="Helvetica"/>
          <w:b/>
          <w:bCs/>
          <w:color w:val="000000"/>
          <w:sz w:val="24"/>
          <w:szCs w:val="24"/>
          <w:lang w:val="nl-NL" w:eastAsia="nl-NL"/>
        </w:rPr>
        <w:t>Prof. Dr. C.J.P.A. Hoebe,</w:t>
      </w:r>
    </w:p>
    <w:p w14:paraId="015AE5E5" w14:textId="77777777" w:rsidR="002C53C4" w:rsidRPr="00E91CB4" w:rsidRDefault="00E91CB4">
      <w:pPr>
        <w:shd w:val="clear" w:color="auto" w:fill="FFFFFF"/>
        <w:spacing w:after="0" w:line="240" w:lineRule="auto"/>
        <w:textAlignment w:val="baseline"/>
        <w:rPr>
          <w:lang w:val="nl-NL"/>
        </w:rPr>
      </w:pPr>
      <w:r w:rsidRPr="00E91CB4">
        <w:rPr>
          <w:rFonts w:ascii="Helvetica" w:eastAsia="Times New Roman" w:hAnsi="Helvetica" w:cs="Helvetica"/>
          <w:b/>
          <w:bCs/>
          <w:color w:val="000000"/>
          <w:sz w:val="24"/>
          <w:szCs w:val="24"/>
          <w:lang w:val="nl-NL" w:eastAsia="nl-NL"/>
        </w:rPr>
        <w:t>Prof. Dr. M.P.G. Koopmans,</w:t>
      </w:r>
    </w:p>
    <w:p w14:paraId="015AE5E6"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Dr. R.H.M. Pierik,</w:t>
      </w:r>
    </w:p>
    <w:p w14:paraId="015AE5E7"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Prof. Dr. M.H.N. Schermer,</w:t>
      </w:r>
    </w:p>
    <w:p w14:paraId="015AE5E8"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Prof. Dr. C. Schultsz,</w:t>
      </w:r>
    </w:p>
    <w:p w14:paraId="015AE5E9"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w:t>
      </w:r>
    </w:p>
    <w:p w14:paraId="015AE5EA"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Betreffend; Aufforderung zur Rücknahme des Ratschlags zu COVID-19</w:t>
      </w:r>
    </w:p>
    <w:p w14:paraId="015AE5EB"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Datum: 8. September</w:t>
      </w:r>
    </w:p>
    <w:p w14:paraId="015AE5EC"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w:t>
      </w:r>
    </w:p>
    <w:p w14:paraId="015AE5ED"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Sehr geehrte Mitglieder des vorübergehenden Ausschusses zur medizinischen Aspekten von COVID-19,</w:t>
      </w:r>
    </w:p>
    <w:p w14:paraId="015AE5EE"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Viruswaarheid ist eine Organisation, die sich für die Wahrung der Grund</w:t>
      </w:r>
      <w:r>
        <w:rPr>
          <w:rFonts w:ascii="Helvetica" w:eastAsia="Times New Roman" w:hAnsi="Helvetica" w:cs="Helvetica"/>
          <w:color w:val="000000"/>
          <w:sz w:val="24"/>
          <w:szCs w:val="24"/>
          <w:lang w:eastAsia="nl-NL"/>
        </w:rPr>
        <w:t>rechte und der Rechtsstaatlichkeit einsetzt. Sie tut dies hauptsächlich durch die Durchführung von Gerichtsverfahren und die Information der Öffentlichkeit. Die voll rechtsfähige Vereinigung Nederlandse Vereniging Kritisch Prikken ist in der Verbreitung vo</w:t>
      </w:r>
      <w:r>
        <w:rPr>
          <w:rFonts w:ascii="Helvetica" w:eastAsia="Times New Roman" w:hAnsi="Helvetica" w:cs="Helvetica"/>
          <w:color w:val="000000"/>
          <w:sz w:val="24"/>
          <w:szCs w:val="24"/>
          <w:lang w:eastAsia="nl-NL"/>
        </w:rPr>
        <w:t>n Informationen über öffentliche Impfprogramme tätig.</w:t>
      </w:r>
    </w:p>
    <w:p w14:paraId="015AE5EF"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Wir wenden uns an Sie in Ihrer Eigenschaft als Mitglieder des vorübergehenden Ausschusses zu den medizinischen Aspekten von COVID-19 (im Folgenden: "der Ausschuss"). Der Ausschuss wurde eingesetzt, um d</w:t>
      </w:r>
      <w:r>
        <w:rPr>
          <w:rFonts w:ascii="Helvetica" w:eastAsia="Times New Roman" w:hAnsi="Helvetica" w:cs="Helvetica"/>
          <w:color w:val="000000"/>
          <w:sz w:val="24"/>
          <w:szCs w:val="24"/>
          <w:lang w:eastAsia="nl-NL"/>
        </w:rPr>
        <w:t>em Ersuchen des Ministers für Gesundheit, Wohlfahrt und Sport um Beratung in dieser Frage nachzukommen. Damit tragen Sie eine Mitverantwortung für die folgenden Beratungsberichte:</w:t>
      </w:r>
    </w:p>
    <w:p w14:paraId="015AE5F0"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 xml:space="preserve">COVID-19-Impfung </w:t>
      </w:r>
      <w:r>
        <w:rPr>
          <w:rFonts w:ascii="Helvetica" w:eastAsia="Times New Roman" w:hAnsi="Helvetica" w:cs="Helvetica"/>
          <w:b/>
          <w:bCs/>
          <w:color w:val="000000"/>
          <w:sz w:val="24"/>
          <w:szCs w:val="24"/>
          <w:lang w:eastAsia="nl-NL"/>
        </w:rPr>
        <w:t>BioNTech/Pfizer</w:t>
      </w:r>
      <w:r>
        <w:rPr>
          <w:rFonts w:ascii="Helvetica" w:eastAsia="Times New Roman" w:hAnsi="Helvetica" w:cs="Helvetica"/>
          <w:color w:val="000000"/>
          <w:sz w:val="24"/>
          <w:szCs w:val="24"/>
          <w:lang w:eastAsia="nl-NL"/>
        </w:rPr>
        <w:t>, Nr. 2020/29 vom 24. Dezember 2020;</w:t>
      </w:r>
    </w:p>
    <w:p w14:paraId="015AE5F1"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COVID-1</w:t>
      </w:r>
      <w:r>
        <w:rPr>
          <w:rFonts w:ascii="Helvetica" w:eastAsia="Times New Roman" w:hAnsi="Helvetica" w:cs="Helvetica"/>
          <w:color w:val="000000"/>
          <w:sz w:val="24"/>
          <w:szCs w:val="24"/>
          <w:lang w:eastAsia="nl-NL"/>
        </w:rPr>
        <w:t xml:space="preserve">9 Vaccine </w:t>
      </w:r>
      <w:r>
        <w:rPr>
          <w:rFonts w:ascii="Helvetica" w:eastAsia="Times New Roman" w:hAnsi="Helvetica" w:cs="Helvetica"/>
          <w:b/>
          <w:bCs/>
          <w:color w:val="000000"/>
          <w:sz w:val="24"/>
          <w:szCs w:val="24"/>
          <w:lang w:eastAsia="nl-NL"/>
        </w:rPr>
        <w:t>Moderna</w:t>
      </w:r>
      <w:r>
        <w:rPr>
          <w:rFonts w:ascii="Helvetica" w:eastAsia="Times New Roman" w:hAnsi="Helvetica" w:cs="Helvetica"/>
          <w:color w:val="000000"/>
          <w:sz w:val="24"/>
          <w:szCs w:val="24"/>
          <w:lang w:eastAsia="nl-NL"/>
        </w:rPr>
        <w:t>, Nr. 2021/01, 11. Januar 2021;</w:t>
      </w:r>
    </w:p>
    <w:p w14:paraId="015AE5F2"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 xml:space="preserve">COVID-19-Impfung </w:t>
      </w:r>
      <w:r>
        <w:rPr>
          <w:rFonts w:ascii="Helvetica" w:eastAsia="Times New Roman" w:hAnsi="Helvetica" w:cs="Helvetica"/>
          <w:b/>
          <w:bCs/>
          <w:color w:val="000000"/>
          <w:sz w:val="24"/>
          <w:szCs w:val="24"/>
          <w:lang w:eastAsia="nl-NL"/>
        </w:rPr>
        <w:t>AstraZeneca-Impfstoff</w:t>
      </w:r>
      <w:r>
        <w:rPr>
          <w:rFonts w:ascii="Helvetica" w:eastAsia="Times New Roman" w:hAnsi="Helvetica" w:cs="Helvetica"/>
          <w:color w:val="000000"/>
          <w:sz w:val="24"/>
          <w:szCs w:val="24"/>
          <w:lang w:eastAsia="nl-NL"/>
        </w:rPr>
        <w:t>, Nr. 2021/04, 4. Februar 2021;</w:t>
      </w:r>
    </w:p>
    <w:p w14:paraId="015AE5F3"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 xml:space="preserve">COVID-19-Impfung: </w:t>
      </w:r>
      <w:r>
        <w:rPr>
          <w:rFonts w:ascii="Helvetica" w:eastAsia="Times New Roman" w:hAnsi="Helvetica" w:cs="Helvetica"/>
          <w:b/>
          <w:bCs/>
          <w:color w:val="000000"/>
          <w:sz w:val="24"/>
          <w:szCs w:val="24"/>
          <w:lang w:eastAsia="nl-NL"/>
        </w:rPr>
        <w:t>Janssen-Impfstoff</w:t>
      </w:r>
      <w:r>
        <w:rPr>
          <w:rFonts w:ascii="Helvetica" w:eastAsia="Times New Roman" w:hAnsi="Helvetica" w:cs="Helvetica"/>
          <w:color w:val="000000"/>
          <w:sz w:val="24"/>
          <w:szCs w:val="24"/>
          <w:lang w:eastAsia="nl-NL"/>
        </w:rPr>
        <w:t>, Nr. 2021/13, 17. März 2021;</w:t>
      </w:r>
    </w:p>
    <w:p w14:paraId="015AE5F4"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b/>
          <w:bCs/>
          <w:color w:val="000000"/>
          <w:sz w:val="24"/>
          <w:szCs w:val="24"/>
          <w:lang w:eastAsia="nl-NL"/>
        </w:rPr>
        <w:t xml:space="preserve">Ethische und rechtliche Überlegungen </w:t>
      </w:r>
      <w:r>
        <w:rPr>
          <w:rFonts w:ascii="Helvetica" w:eastAsia="Times New Roman" w:hAnsi="Helvetica" w:cs="Helvetica"/>
          <w:color w:val="000000"/>
          <w:sz w:val="24"/>
          <w:szCs w:val="24"/>
          <w:lang w:eastAsia="nl-NL"/>
        </w:rPr>
        <w:t>COVID-19-Impfung, Nr. 2021/03, 4. F</w:t>
      </w:r>
      <w:r>
        <w:rPr>
          <w:rFonts w:ascii="Helvetica" w:eastAsia="Times New Roman" w:hAnsi="Helvetica" w:cs="Helvetica"/>
          <w:color w:val="000000"/>
          <w:sz w:val="24"/>
          <w:szCs w:val="24"/>
          <w:lang w:eastAsia="nl-NL"/>
        </w:rPr>
        <w:t>ebruar 2021</w:t>
      </w:r>
    </w:p>
    <w:p w14:paraId="015AE5F5"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b/>
          <w:bCs/>
          <w:color w:val="000000"/>
          <w:sz w:val="24"/>
          <w:szCs w:val="24"/>
          <w:lang w:eastAsia="nl-NL"/>
        </w:rPr>
        <w:t xml:space="preserve">Ergänzung zur </w:t>
      </w:r>
      <w:r>
        <w:rPr>
          <w:rFonts w:ascii="Helvetica" w:eastAsia="Times New Roman" w:hAnsi="Helvetica" w:cs="Helvetica"/>
          <w:color w:val="000000"/>
          <w:sz w:val="24"/>
          <w:szCs w:val="24"/>
          <w:lang w:eastAsia="nl-NL"/>
        </w:rPr>
        <w:t xml:space="preserve">COVID-19-Impfung für </w:t>
      </w:r>
      <w:r>
        <w:rPr>
          <w:rFonts w:ascii="Helvetica" w:eastAsia="Times New Roman" w:hAnsi="Helvetica" w:cs="Helvetica"/>
          <w:b/>
          <w:bCs/>
          <w:color w:val="000000"/>
          <w:sz w:val="24"/>
          <w:szCs w:val="24"/>
          <w:lang w:eastAsia="nl-NL"/>
        </w:rPr>
        <w:t>Hochrisikogruppen</w:t>
      </w:r>
      <w:r>
        <w:rPr>
          <w:rFonts w:ascii="Helvetica" w:eastAsia="Times New Roman" w:hAnsi="Helvetica" w:cs="Helvetica"/>
          <w:color w:val="000000"/>
          <w:sz w:val="24"/>
          <w:szCs w:val="24"/>
          <w:lang w:eastAsia="nl-NL"/>
        </w:rPr>
        <w:t>, Nr. 2021/15, 22. März 2021;</w:t>
      </w:r>
    </w:p>
    <w:p w14:paraId="015AE5F6"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 xml:space="preserve">Impfung von </w:t>
      </w:r>
      <w:r>
        <w:rPr>
          <w:rFonts w:ascii="Helvetica" w:eastAsia="Times New Roman" w:hAnsi="Helvetica" w:cs="Helvetica"/>
          <w:b/>
          <w:bCs/>
          <w:color w:val="000000"/>
          <w:sz w:val="24"/>
          <w:szCs w:val="24"/>
          <w:lang w:eastAsia="nl-NL"/>
        </w:rPr>
        <w:t>Kindern</w:t>
      </w:r>
      <w:r>
        <w:rPr>
          <w:rFonts w:ascii="Helvetica" w:eastAsia="Times New Roman" w:hAnsi="Helvetica" w:cs="Helvetica"/>
          <w:color w:val="000000"/>
          <w:sz w:val="24"/>
          <w:szCs w:val="24"/>
          <w:lang w:eastAsia="nl-NL"/>
        </w:rPr>
        <w:t>, Nr. 2021/18, 9. April 2021;</w:t>
      </w:r>
    </w:p>
    <w:p w14:paraId="015AE5F7"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 xml:space="preserve">Einsatz des </w:t>
      </w:r>
      <w:r>
        <w:rPr>
          <w:rFonts w:ascii="Helvetica" w:eastAsia="Times New Roman" w:hAnsi="Helvetica" w:cs="Helvetica"/>
          <w:b/>
          <w:bCs/>
          <w:color w:val="000000"/>
          <w:sz w:val="24"/>
          <w:szCs w:val="24"/>
          <w:lang w:eastAsia="nl-NL"/>
        </w:rPr>
        <w:t>Impfstoffs von AstraZeneca</w:t>
      </w:r>
      <w:r>
        <w:rPr>
          <w:rFonts w:ascii="Helvetica" w:eastAsia="Times New Roman" w:hAnsi="Helvetica" w:cs="Helvetica"/>
          <w:color w:val="000000"/>
          <w:sz w:val="24"/>
          <w:szCs w:val="24"/>
          <w:lang w:eastAsia="nl-NL"/>
        </w:rPr>
        <w:t>, Nr. 2021/17, 9. April 2021.</w:t>
      </w:r>
    </w:p>
    <w:p w14:paraId="015AE5F8"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b/>
          <w:bCs/>
          <w:color w:val="000000"/>
          <w:sz w:val="24"/>
          <w:szCs w:val="24"/>
          <w:lang w:eastAsia="nl-NL"/>
        </w:rPr>
        <w:t>Übertragung nach der Impfung</w:t>
      </w:r>
      <w:r>
        <w:rPr>
          <w:rFonts w:ascii="Helvetica" w:eastAsia="Times New Roman" w:hAnsi="Helvetica" w:cs="Helvetica"/>
          <w:color w:val="000000"/>
          <w:sz w:val="24"/>
          <w:szCs w:val="24"/>
          <w:lang w:eastAsia="nl-NL"/>
        </w:rPr>
        <w:t xml:space="preserve">, Nr. </w:t>
      </w:r>
      <w:r>
        <w:rPr>
          <w:rFonts w:ascii="Helvetica" w:eastAsia="Times New Roman" w:hAnsi="Helvetica" w:cs="Helvetica"/>
          <w:color w:val="000000"/>
          <w:sz w:val="24"/>
          <w:szCs w:val="24"/>
          <w:lang w:eastAsia="nl-NL"/>
        </w:rPr>
        <w:t>2021/22, 20. Mai 2021;</w:t>
      </w:r>
    </w:p>
    <w:p w14:paraId="015AE5F9"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 xml:space="preserve">Impfung von </w:t>
      </w:r>
      <w:r>
        <w:rPr>
          <w:rFonts w:ascii="Helvetica" w:eastAsia="Times New Roman" w:hAnsi="Helvetica" w:cs="Helvetica"/>
          <w:b/>
          <w:bCs/>
          <w:color w:val="000000"/>
          <w:sz w:val="24"/>
          <w:szCs w:val="24"/>
          <w:lang w:eastAsia="nl-NL"/>
        </w:rPr>
        <w:t>Kindern mit medizinischem Risiko und Ringimpfung</w:t>
      </w:r>
      <w:r>
        <w:rPr>
          <w:rFonts w:ascii="Helvetica" w:eastAsia="Times New Roman" w:hAnsi="Helvetica" w:cs="Helvetica"/>
          <w:color w:val="000000"/>
          <w:sz w:val="24"/>
          <w:szCs w:val="24"/>
          <w:lang w:eastAsia="nl-NL"/>
        </w:rPr>
        <w:t>, Nr. 2021/29, 9. Juni 2021;</w:t>
      </w:r>
    </w:p>
    <w:p w14:paraId="015AE5FA"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 xml:space="preserve">Impfung von </w:t>
      </w:r>
      <w:r>
        <w:rPr>
          <w:rFonts w:ascii="Helvetica" w:eastAsia="Times New Roman" w:hAnsi="Helvetica" w:cs="Helvetica"/>
          <w:b/>
          <w:bCs/>
          <w:color w:val="000000"/>
          <w:sz w:val="24"/>
          <w:szCs w:val="24"/>
          <w:lang w:eastAsia="nl-NL"/>
        </w:rPr>
        <w:t xml:space="preserve">Heranwachsenden </w:t>
      </w:r>
      <w:r>
        <w:rPr>
          <w:rFonts w:ascii="Helvetica" w:eastAsia="Times New Roman" w:hAnsi="Helvetica" w:cs="Helvetica"/>
          <w:color w:val="000000"/>
          <w:sz w:val="24"/>
          <w:szCs w:val="24"/>
          <w:lang w:eastAsia="nl-NL"/>
        </w:rPr>
        <w:t>gegen COVID-19, Nr. 2021/33, 29. Juni 2021;</w:t>
      </w:r>
    </w:p>
    <w:p w14:paraId="015AE5FB" w14:textId="77777777" w:rsidR="002C53C4" w:rsidRDefault="00E91CB4">
      <w:pPr>
        <w:numPr>
          <w:ilvl w:val="0"/>
          <w:numId w:val="1"/>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 xml:space="preserve">Impfung von </w:t>
      </w:r>
      <w:r>
        <w:rPr>
          <w:rFonts w:ascii="Helvetica" w:eastAsia="Times New Roman" w:hAnsi="Helvetica" w:cs="Helvetica"/>
          <w:b/>
          <w:bCs/>
          <w:color w:val="000000"/>
          <w:sz w:val="24"/>
          <w:szCs w:val="24"/>
          <w:lang w:eastAsia="nl-NL"/>
        </w:rPr>
        <w:t xml:space="preserve">Jugendlichen </w:t>
      </w:r>
      <w:r>
        <w:rPr>
          <w:rFonts w:ascii="Helvetica" w:eastAsia="Times New Roman" w:hAnsi="Helvetica" w:cs="Helvetica"/>
          <w:color w:val="000000"/>
          <w:sz w:val="24"/>
          <w:szCs w:val="24"/>
          <w:lang w:eastAsia="nl-NL"/>
        </w:rPr>
        <w:t xml:space="preserve">mit dem </w:t>
      </w:r>
      <w:r>
        <w:rPr>
          <w:rFonts w:ascii="Helvetica" w:eastAsia="Times New Roman" w:hAnsi="Helvetica" w:cs="Helvetica"/>
          <w:b/>
          <w:bCs/>
          <w:color w:val="000000"/>
          <w:sz w:val="24"/>
          <w:szCs w:val="24"/>
          <w:lang w:eastAsia="nl-NL"/>
        </w:rPr>
        <w:t>Moderna-Impfstoff</w:t>
      </w:r>
      <w:r>
        <w:rPr>
          <w:rFonts w:ascii="Helvetica" w:eastAsia="Times New Roman" w:hAnsi="Helvetica" w:cs="Helvetica"/>
          <w:color w:val="000000"/>
          <w:sz w:val="24"/>
          <w:szCs w:val="24"/>
          <w:lang w:eastAsia="nl-NL"/>
        </w:rPr>
        <w:t>, Nr. 2021/36, 29. Jul</w:t>
      </w:r>
      <w:r>
        <w:rPr>
          <w:rFonts w:ascii="Helvetica" w:eastAsia="Times New Roman" w:hAnsi="Helvetica" w:cs="Helvetica"/>
          <w:color w:val="000000"/>
          <w:sz w:val="24"/>
          <w:szCs w:val="24"/>
          <w:lang w:eastAsia="nl-NL"/>
        </w:rPr>
        <w:t>i 2021;</w:t>
      </w:r>
    </w:p>
    <w:p w14:paraId="015AE5FC"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Diese Empfehlungen bilden die Grundlage für die Politik des Ministers für Gesundheit, Wohlfahrt und Sport, alle Einwohner der Niederlande über 12 Jahren </w:t>
      </w:r>
      <w:r>
        <w:rPr>
          <w:rFonts w:ascii="Helvetica" w:eastAsia="Times New Roman" w:hAnsi="Helvetica" w:cs="Helvetica"/>
          <w:i/>
          <w:iCs/>
          <w:color w:val="000000"/>
          <w:sz w:val="24"/>
          <w:szCs w:val="24"/>
          <w:lang w:eastAsia="nl-NL"/>
        </w:rPr>
        <w:t xml:space="preserve">zu impfen. </w:t>
      </w:r>
      <w:bookmarkStart w:id="0" w:name="_ftnref1"/>
      <w:r>
        <w:rPr>
          <w:rFonts w:ascii="Helvetica" w:eastAsia="Times New Roman" w:hAnsi="Helvetica" w:cs="Helvetica"/>
          <w:color w:val="000000"/>
          <w:sz w:val="24"/>
          <w:szCs w:val="24"/>
          <w:lang w:eastAsia="nl-NL"/>
        </w:rPr>
        <w:t>[</w:t>
      </w:r>
      <w:hyperlink r:id="rId5" w:anchor="_ftn1" w:history="1">
        <w:r>
          <w:rPr>
            <w:rFonts w:ascii="Helvetica" w:eastAsia="Times New Roman" w:hAnsi="Helvetica" w:cs="Helvetica"/>
            <w:b/>
            <w:bCs/>
            <w:i/>
            <w:iCs/>
            <w:color w:val="EC8823"/>
            <w:sz w:val="24"/>
            <w:szCs w:val="24"/>
            <w:lang w:eastAsia="nl-NL"/>
          </w:rPr>
          <w:t xml:space="preserve">1] </w:t>
        </w:r>
      </w:hyperlink>
      <w:r>
        <w:rPr>
          <w:rFonts w:ascii="Helvetica" w:eastAsia="Times New Roman" w:hAnsi="Helvetica" w:cs="Helvetica"/>
          <w:color w:val="000000"/>
          <w:sz w:val="24"/>
          <w:szCs w:val="24"/>
          <w:lang w:eastAsia="nl-NL"/>
        </w:rPr>
        <w:t xml:space="preserve">Dies gilt auch für die Ausschlusspolitik gegenüber nicht geimpften </w:t>
      </w:r>
      <w:r>
        <w:rPr>
          <w:rFonts w:ascii="Helvetica" w:eastAsia="Times New Roman" w:hAnsi="Helvetica" w:cs="Helvetica"/>
          <w:color w:val="000000"/>
          <w:sz w:val="24"/>
          <w:szCs w:val="24"/>
          <w:lang w:eastAsia="nl-NL"/>
        </w:rPr>
        <w:lastRenderedPageBreak/>
        <w:t>Personen und Personen, die sich weigern, sich testen zu lassen. Ab dem 19. September 2021 können sie keine gastronomischen Einrichtungen und kulturellen Veranstaltungen mehr besuch</w:t>
      </w:r>
      <w:r>
        <w:rPr>
          <w:rFonts w:ascii="Helvetica" w:eastAsia="Times New Roman" w:hAnsi="Helvetica" w:cs="Helvetica"/>
          <w:color w:val="000000"/>
          <w:sz w:val="24"/>
          <w:szCs w:val="24"/>
          <w:lang w:eastAsia="nl-NL"/>
        </w:rPr>
        <w:t>en. Es ist zu erwarten, dass diese Beschränkungen systematisch ausgeweitet werden. In Frankreich ist die Möglichkeit, mit einem negativen Testzertifikat zugelassen zu werden, bereits ausgelaufen. Ungeimpfte Menschen dürfen nicht einmal mehr Lebensmittelges</w:t>
      </w:r>
      <w:r>
        <w:rPr>
          <w:rFonts w:ascii="Helvetica" w:eastAsia="Times New Roman" w:hAnsi="Helvetica" w:cs="Helvetica"/>
          <w:color w:val="000000"/>
          <w:sz w:val="24"/>
          <w:szCs w:val="24"/>
          <w:lang w:eastAsia="nl-NL"/>
        </w:rPr>
        <w:t>chäfte besuchen.</w:t>
      </w:r>
    </w:p>
    <w:p w14:paraId="015AE5FD"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Aufforderung</w:t>
      </w:r>
    </w:p>
    <w:p w14:paraId="015AE5FE"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Auf der Grundlage der nachstehenden Ausführungen bitten wir Sie und fordern Sie gegebenenfalls auf, uns bis spätestens 13. September 2021 zu bestätigen, dass Sie Ihre Unterstützung für alle oben genannten Empfehlungen zurückzi</w:t>
      </w:r>
      <w:r>
        <w:rPr>
          <w:rFonts w:ascii="Helvetica" w:eastAsia="Times New Roman" w:hAnsi="Helvetica" w:cs="Helvetica"/>
          <w:b/>
          <w:bCs/>
          <w:color w:val="000000"/>
          <w:sz w:val="24"/>
          <w:szCs w:val="24"/>
          <w:lang w:eastAsia="nl-NL"/>
        </w:rPr>
        <w:t>ehen und den Minister für Gesundheit, Wohlfahrt und Sport entsprechend informiert haben. Sie müssen dann dafür sorgen, dass der Ausschuss diese Empfehlungen unter Berücksichtigung dieses Schreibens überarbeitet.</w:t>
      </w:r>
    </w:p>
    <w:p w14:paraId="015AE5FF"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Sollten Sie diese Frist nicht einhalten, seh</w:t>
      </w:r>
      <w:r>
        <w:rPr>
          <w:rFonts w:ascii="Helvetica" w:eastAsia="Times New Roman" w:hAnsi="Helvetica" w:cs="Helvetica"/>
          <w:color w:val="000000"/>
          <w:sz w:val="24"/>
          <w:szCs w:val="24"/>
          <w:lang w:eastAsia="nl-NL"/>
        </w:rPr>
        <w:t>en wir uns gezwungen, eine einstweilige Verfügung zu beantragen, um Sie zu zwingen, diese Stellungnahmen zurückzuziehen und zu überarbeiten.  In einem Hauptsacheverfahren werden wir auch eine Feststellungsklage erheben, um die Rechtswidrigkeit Ihrer Handlu</w:t>
      </w:r>
      <w:r>
        <w:rPr>
          <w:rFonts w:ascii="Helvetica" w:eastAsia="Times New Roman" w:hAnsi="Helvetica" w:cs="Helvetica"/>
          <w:color w:val="000000"/>
          <w:sz w:val="24"/>
          <w:szCs w:val="24"/>
          <w:lang w:eastAsia="nl-NL"/>
        </w:rPr>
        <w:t>ngen festzustellen. Ein Schuldspruch ist die Grundlage dafür, dass jeder von Ihnen und den anderen Ausschussmitgliedern persönlich alle Verletzungen und sonstigen Schäden, die sich aus Ihren Handlungen ergeben, zurückfordern kann. Eine Vorladung wurde bere</w:t>
      </w:r>
      <w:r>
        <w:rPr>
          <w:rFonts w:ascii="Helvetica" w:eastAsia="Times New Roman" w:hAnsi="Helvetica" w:cs="Helvetica"/>
          <w:color w:val="000000"/>
          <w:sz w:val="24"/>
          <w:szCs w:val="24"/>
          <w:lang w:eastAsia="nl-NL"/>
        </w:rPr>
        <w:t>its vorbereitet.</w:t>
      </w:r>
    </w:p>
    <w:p w14:paraId="015AE600"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Rechtswidriges Verhalten</w:t>
      </w:r>
    </w:p>
    <w:p w14:paraId="015AE601"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Der Ausschuss ist ein beratendes Gremium im Sinne von Artikel 1 des Rahmengesetzes über Beratungsgremien. Als Mitglied des Ausschusses haben Sie die Aufgabe, eine wirklich unabhängige und dem Stand der Wissenschaft</w:t>
      </w:r>
      <w:r>
        <w:rPr>
          <w:rFonts w:ascii="Helvetica" w:eastAsia="Times New Roman" w:hAnsi="Helvetica" w:cs="Helvetica"/>
          <w:color w:val="000000"/>
          <w:sz w:val="24"/>
          <w:szCs w:val="24"/>
          <w:lang w:eastAsia="nl-NL"/>
        </w:rPr>
        <w:t xml:space="preserve"> entsprechende Beratung zu leisten. In der Geschäftsordnung des Gesundheitsrates vom 22. Juni 2020 ist festgelegt, dass von den Mitgliedern des Rates erwartet wird, dass sie </w:t>
      </w:r>
      <w:r>
        <w:rPr>
          <w:rFonts w:ascii="Helvetica" w:eastAsia="Times New Roman" w:hAnsi="Helvetica" w:cs="Helvetica"/>
          <w:i/>
          <w:iCs/>
          <w:color w:val="000000"/>
          <w:sz w:val="24"/>
          <w:szCs w:val="24"/>
          <w:lang w:eastAsia="nl-NL"/>
        </w:rPr>
        <w:t>eine unvoreingenommene Bewertung wissenschaftlicher Daten und Meinungen vornehmen,</w:t>
      </w:r>
      <w:r>
        <w:rPr>
          <w:rFonts w:ascii="Helvetica" w:eastAsia="Times New Roman" w:hAnsi="Helvetica" w:cs="Helvetica"/>
          <w:i/>
          <w:iCs/>
          <w:color w:val="000000"/>
          <w:sz w:val="24"/>
          <w:szCs w:val="24"/>
          <w:lang w:eastAsia="nl-NL"/>
        </w:rPr>
        <w:t xml:space="preserve"> ohne an Verpflichtungen oder Konsultationen gebunden zu sein, und dass sie keine Interessen oder Gruppen vertreten (Artikel 3.6).</w:t>
      </w:r>
      <w:r>
        <w:rPr>
          <w:rFonts w:ascii="Helvetica" w:eastAsia="Times New Roman" w:hAnsi="Helvetica" w:cs="Helvetica"/>
          <w:color w:val="000000"/>
          <w:sz w:val="24"/>
          <w:szCs w:val="24"/>
          <w:lang w:eastAsia="nl-NL"/>
        </w:rPr>
        <w:t xml:space="preserve"> Auch der Gesundheitsrat der Niederlande hat den Kodex zur Verhinderung unzulässiger Beeinflussung durch Interessenkonflikte u</w:t>
      </w:r>
      <w:r>
        <w:rPr>
          <w:rFonts w:ascii="Helvetica" w:eastAsia="Times New Roman" w:hAnsi="Helvetica" w:cs="Helvetica"/>
          <w:color w:val="000000"/>
          <w:sz w:val="24"/>
          <w:szCs w:val="24"/>
          <w:lang w:eastAsia="nl-NL"/>
        </w:rPr>
        <w:t>nterzeichnet.</w:t>
      </w:r>
    </w:p>
    <w:p w14:paraId="015AE602"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Der Ausschuss hat die Aufgabe, gemäß diesen Normen zu beraten, wobei das Interesse der öffentlichen Gesundheit an erster Stelle stehen muss. Die Beratung muss den Anforderungen der aktiven </w:t>
      </w:r>
      <w:r>
        <w:rPr>
          <w:rFonts w:ascii="Helvetica" w:eastAsia="Times New Roman" w:hAnsi="Helvetica" w:cs="Helvetica"/>
          <w:i/>
          <w:iCs/>
          <w:color w:val="000000"/>
          <w:sz w:val="24"/>
          <w:szCs w:val="24"/>
          <w:lang w:eastAsia="nl-NL"/>
        </w:rPr>
        <w:t xml:space="preserve">Sorgfaltspflicht </w:t>
      </w:r>
      <w:r>
        <w:rPr>
          <w:rFonts w:ascii="Helvetica" w:eastAsia="Times New Roman" w:hAnsi="Helvetica" w:cs="Helvetica"/>
          <w:color w:val="000000"/>
          <w:sz w:val="24"/>
          <w:szCs w:val="24"/>
          <w:lang w:eastAsia="nl-NL"/>
        </w:rPr>
        <w:t>zum Schutz der Gesundheit der Bürger</w:t>
      </w:r>
      <w:r>
        <w:rPr>
          <w:rFonts w:ascii="Helvetica" w:eastAsia="Times New Roman" w:hAnsi="Helvetica" w:cs="Helvetica"/>
          <w:color w:val="000000"/>
          <w:sz w:val="24"/>
          <w:szCs w:val="24"/>
          <w:lang w:eastAsia="nl-NL"/>
        </w:rPr>
        <w:t xml:space="preserve"> genügen. Diese Verpflichtung ergibt sich aus den Artikeln 2 und 8 der EMRK, Artikel 11 der Europäischen Sozialcharta und Artikel 22 der Verfassung.</w:t>
      </w:r>
    </w:p>
    <w:p w14:paraId="015AE603"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Bei der Beratung zu Impfungen sollten Sie sich an den Bewertungsrahmen halten, der im Beratungsbericht des </w:t>
      </w:r>
      <w:r>
        <w:rPr>
          <w:rFonts w:ascii="Helvetica" w:eastAsia="Times New Roman" w:hAnsi="Helvetica" w:cs="Helvetica"/>
          <w:color w:val="000000"/>
          <w:sz w:val="24"/>
          <w:szCs w:val="24"/>
          <w:lang w:eastAsia="nl-NL"/>
        </w:rPr>
        <w:t>Gesundheitsrats "</w:t>
      </w:r>
      <w:r>
        <w:rPr>
          <w:rFonts w:ascii="Helvetica" w:eastAsia="Times New Roman" w:hAnsi="Helvetica" w:cs="Helvetica"/>
          <w:i/>
          <w:iCs/>
          <w:color w:val="000000"/>
          <w:sz w:val="24"/>
          <w:szCs w:val="24"/>
          <w:lang w:eastAsia="nl-NL"/>
        </w:rPr>
        <w:t>Die Zukunft des Nationalen Impfprogramms: Auf dem Weg zu einem Programm für alle Altersgruppen" (2007) festgelegt ist</w:t>
      </w:r>
      <w:r>
        <w:rPr>
          <w:rFonts w:ascii="Helvetica" w:eastAsia="Times New Roman" w:hAnsi="Helvetica" w:cs="Helvetica"/>
          <w:color w:val="000000"/>
          <w:sz w:val="24"/>
          <w:szCs w:val="24"/>
          <w:lang w:eastAsia="nl-NL"/>
        </w:rPr>
        <w:t>. In diesem Beratungsbericht werden sieben starre Kriterien formuliert, anhand derer beurteilt werden kann, ob eine bestim</w:t>
      </w:r>
      <w:r>
        <w:rPr>
          <w:rFonts w:ascii="Helvetica" w:eastAsia="Times New Roman" w:hAnsi="Helvetica" w:cs="Helvetica"/>
          <w:color w:val="000000"/>
          <w:sz w:val="24"/>
          <w:szCs w:val="24"/>
          <w:lang w:eastAsia="nl-NL"/>
        </w:rPr>
        <w:t xml:space="preserve">mte Impfung für eine bestimmte Zielgruppe in das Programm aufgenommen werden sollte. </w:t>
      </w:r>
      <w:hyperlink r:id="rId6" w:anchor="_ftn2" w:history="1">
        <w:bookmarkStart w:id="1" w:name="_ftnref2"/>
        <w:r>
          <w:rPr>
            <w:rFonts w:ascii="Helvetica" w:eastAsia="Times New Roman" w:hAnsi="Helvetica" w:cs="Helvetica"/>
            <w:color w:val="EC8823"/>
            <w:sz w:val="24"/>
            <w:szCs w:val="24"/>
            <w:vertAlign w:val="superscript"/>
            <w:lang w:eastAsia="nl-NL"/>
          </w:rPr>
          <w:t xml:space="preserve">[2] </w:t>
        </w:r>
      </w:hyperlink>
      <w:bookmarkEnd w:id="1"/>
    </w:p>
    <w:p w14:paraId="015AE604"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Der oben beschriebene Bewertungsrahmen für Impfungen basiert auf internationalen medizinethischen und gesundheitsrechtlichen Standards. Diese entsprechen den von der WHO 2013 veröffentlichten Leitlinien mit ethischen Überlegungen zu Impfkampagnen in Notfäl</w:t>
      </w:r>
      <w:r>
        <w:rPr>
          <w:rFonts w:ascii="Helvetica" w:eastAsia="Times New Roman" w:hAnsi="Helvetica" w:cs="Helvetica"/>
          <w:color w:val="000000"/>
          <w:sz w:val="24"/>
          <w:szCs w:val="24"/>
          <w:lang w:eastAsia="nl-NL"/>
        </w:rPr>
        <w:t xml:space="preserve">len. </w:t>
      </w:r>
      <w:hyperlink r:id="rId7" w:anchor="_ftn3" w:history="1">
        <w:bookmarkStart w:id="2" w:name="_ftnref3"/>
        <w:r>
          <w:rPr>
            <w:rFonts w:ascii="Helvetica" w:eastAsia="Times New Roman" w:hAnsi="Helvetica" w:cs="Helvetica"/>
            <w:color w:val="EC8823"/>
            <w:sz w:val="24"/>
            <w:szCs w:val="24"/>
            <w:vertAlign w:val="superscript"/>
            <w:lang w:eastAsia="nl-NL"/>
          </w:rPr>
          <w:t xml:space="preserve">[3] </w:t>
        </w:r>
      </w:hyperlink>
      <w:bookmarkEnd w:id="2"/>
      <w:r>
        <w:rPr>
          <w:rFonts w:ascii="Helvetica" w:eastAsia="Times New Roman" w:hAnsi="Helvetica" w:cs="Helvetica"/>
          <w:color w:val="000000"/>
          <w:sz w:val="24"/>
          <w:szCs w:val="24"/>
          <w:lang w:eastAsia="nl-NL"/>
        </w:rPr>
        <w:t>Diese sind:</w:t>
      </w:r>
    </w:p>
    <w:p w14:paraId="015AE605" w14:textId="77777777" w:rsidR="002C53C4" w:rsidRDefault="00E91CB4">
      <w:pPr>
        <w:numPr>
          <w:ilvl w:val="0"/>
          <w:numId w:val="2"/>
        </w:numPr>
        <w:shd w:val="clear" w:color="auto" w:fill="FFFFFF"/>
        <w:spacing w:after="0" w:line="390" w:lineRule="atLeast"/>
        <w:ind w:left="0"/>
        <w:textAlignment w:val="baseline"/>
      </w:pPr>
      <w:r>
        <w:rPr>
          <w:rFonts w:ascii="Helvetica" w:eastAsia="Times New Roman" w:hAnsi="Helvetica" w:cs="Helvetica"/>
          <w:i/>
          <w:iCs/>
          <w:color w:val="000000"/>
          <w:sz w:val="24"/>
          <w:szCs w:val="24"/>
          <w:lang w:eastAsia="nl-NL"/>
        </w:rPr>
        <w:lastRenderedPageBreak/>
        <w:t xml:space="preserve">Nicht schaden. Bei </w:t>
      </w:r>
      <w:r>
        <w:rPr>
          <w:rFonts w:ascii="Helvetica" w:eastAsia="Times New Roman" w:hAnsi="Helvetica" w:cs="Helvetica"/>
          <w:color w:val="000000"/>
          <w:sz w:val="24"/>
          <w:szCs w:val="24"/>
          <w:lang w:eastAsia="nl-NL"/>
        </w:rPr>
        <w:t xml:space="preserve">allen Entscheidungen während einer humanitären Krise muss das richtige Gleichgewicht zwischen dem Grundsatz, </w:t>
      </w:r>
      <w:r>
        <w:rPr>
          <w:rFonts w:ascii="Helvetica" w:eastAsia="Times New Roman" w:hAnsi="Helvetica" w:cs="Helvetica"/>
          <w:i/>
          <w:iCs/>
          <w:color w:val="000000"/>
          <w:sz w:val="24"/>
          <w:szCs w:val="24"/>
          <w:lang w:eastAsia="nl-NL"/>
        </w:rPr>
        <w:t>keinen Sch</w:t>
      </w:r>
      <w:r>
        <w:rPr>
          <w:rFonts w:ascii="Helvetica" w:eastAsia="Times New Roman" w:hAnsi="Helvetica" w:cs="Helvetica"/>
          <w:i/>
          <w:iCs/>
          <w:color w:val="000000"/>
          <w:sz w:val="24"/>
          <w:szCs w:val="24"/>
          <w:lang w:eastAsia="nl-NL"/>
        </w:rPr>
        <w:t>aden anzurichten</w:t>
      </w:r>
      <w:r>
        <w:rPr>
          <w:rFonts w:ascii="Helvetica" w:eastAsia="Times New Roman" w:hAnsi="Helvetica" w:cs="Helvetica"/>
          <w:color w:val="000000"/>
          <w:sz w:val="24"/>
          <w:szCs w:val="24"/>
          <w:lang w:eastAsia="nl-NL"/>
        </w:rPr>
        <w:t xml:space="preserve">, und dem Grundsatz, </w:t>
      </w:r>
      <w:r>
        <w:rPr>
          <w:rFonts w:ascii="Helvetica" w:eastAsia="Times New Roman" w:hAnsi="Helvetica" w:cs="Helvetica"/>
          <w:i/>
          <w:iCs/>
          <w:color w:val="000000"/>
          <w:sz w:val="24"/>
          <w:szCs w:val="24"/>
          <w:lang w:eastAsia="nl-NL"/>
        </w:rPr>
        <w:t>Gutes zu tun, gefunden werden;</w:t>
      </w:r>
    </w:p>
    <w:p w14:paraId="015AE606" w14:textId="77777777" w:rsidR="002C53C4" w:rsidRDefault="00E91CB4">
      <w:pPr>
        <w:numPr>
          <w:ilvl w:val="0"/>
          <w:numId w:val="2"/>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Nur Impfstoffe, die sich als wirksam und sicher erwiesen haben, kommen für eine Massenimpfung in der akuten Phase einer humanitären Krise in Frage;</w:t>
      </w:r>
    </w:p>
    <w:p w14:paraId="015AE607" w14:textId="77777777" w:rsidR="002C53C4" w:rsidRDefault="00E91CB4">
      <w:pPr>
        <w:numPr>
          <w:ilvl w:val="0"/>
          <w:numId w:val="2"/>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Diese sollten in der Lage sein, ab einer</w:t>
      </w:r>
      <w:r>
        <w:rPr>
          <w:rFonts w:ascii="Helvetica" w:eastAsia="Times New Roman" w:hAnsi="Helvetica" w:cs="Helvetica"/>
          <w:color w:val="000000"/>
          <w:sz w:val="24"/>
          <w:szCs w:val="24"/>
          <w:lang w:eastAsia="nl-NL"/>
        </w:rPr>
        <w:t xml:space="preserve"> bestimmten Impfquote eine Gruppenimmunität zu erzeugen und damit die Virusübertragung zu verringern;</w:t>
      </w:r>
    </w:p>
    <w:p w14:paraId="015AE608" w14:textId="77777777" w:rsidR="002C53C4" w:rsidRDefault="00E91CB4">
      <w:pPr>
        <w:numPr>
          <w:ilvl w:val="0"/>
          <w:numId w:val="2"/>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Unnötige Impfungen führen zu einem Verlust an öffentlichen Mitteln, die nicht für andere Zwecke verwendet werden können, und setzen die Menschen dem Risik</w:t>
      </w:r>
      <w:r>
        <w:rPr>
          <w:rFonts w:ascii="Helvetica" w:eastAsia="Times New Roman" w:hAnsi="Helvetica" w:cs="Helvetica"/>
          <w:color w:val="000000"/>
          <w:sz w:val="24"/>
          <w:szCs w:val="24"/>
          <w:lang w:eastAsia="nl-NL"/>
        </w:rPr>
        <w:t>o von Nebenwirkungen aus;</w:t>
      </w:r>
    </w:p>
    <w:p w14:paraId="015AE609" w14:textId="77777777" w:rsidR="002C53C4" w:rsidRDefault="00E91CB4">
      <w:pPr>
        <w:numPr>
          <w:ilvl w:val="0"/>
          <w:numId w:val="2"/>
        </w:numPr>
        <w:shd w:val="clear" w:color="auto" w:fill="FFFFFF"/>
        <w:spacing w:after="0" w:line="390" w:lineRule="atLeast"/>
        <w:ind w:left="0"/>
        <w:textAlignment w:val="baseline"/>
      </w:pPr>
      <w:r>
        <w:rPr>
          <w:rFonts w:ascii="Helvetica" w:eastAsia="Times New Roman" w:hAnsi="Helvetica" w:cs="Helvetica"/>
          <w:color w:val="000000"/>
          <w:sz w:val="24"/>
          <w:szCs w:val="24"/>
          <w:lang w:eastAsia="nl-NL"/>
        </w:rPr>
        <w:t>Das Risiko der Krankheit muss die Impfung rechtfertigen;</w:t>
      </w:r>
    </w:p>
    <w:p w14:paraId="015AE60A"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Unter Verstoß gegen diese allgemein gültigen und rechtsverbindlichen Grundsätze des Vertragsrechts haben Sie empfohlen, der gesamten Bevölkerung ab 12 Jahren diese </w:t>
      </w:r>
      <w:r>
        <w:rPr>
          <w:rFonts w:ascii="Helvetica" w:eastAsia="Times New Roman" w:hAnsi="Helvetica" w:cs="Helvetica"/>
          <w:color w:val="000000"/>
          <w:sz w:val="24"/>
          <w:szCs w:val="24"/>
          <w:lang w:eastAsia="nl-NL"/>
        </w:rPr>
        <w:t>experimentellen Gentherapien zu injizieren.</w:t>
      </w:r>
    </w:p>
    <w:p w14:paraId="015AE60B"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Der Grundsatz des </w:t>
      </w:r>
      <w:r>
        <w:rPr>
          <w:rFonts w:ascii="Helvetica" w:eastAsia="Times New Roman" w:hAnsi="Helvetica" w:cs="Helvetica"/>
          <w:i/>
          <w:iCs/>
          <w:color w:val="000000"/>
          <w:sz w:val="24"/>
          <w:szCs w:val="24"/>
          <w:lang w:eastAsia="nl-NL"/>
        </w:rPr>
        <w:t xml:space="preserve">Nichtschadens </w:t>
      </w:r>
      <w:r>
        <w:rPr>
          <w:rFonts w:ascii="Helvetica" w:eastAsia="Times New Roman" w:hAnsi="Helvetica" w:cs="Helvetica"/>
          <w:color w:val="000000"/>
          <w:sz w:val="24"/>
          <w:szCs w:val="24"/>
          <w:lang w:eastAsia="nl-NL"/>
        </w:rPr>
        <w:t>("</w:t>
      </w:r>
      <w:r>
        <w:rPr>
          <w:rFonts w:ascii="Helvetica" w:eastAsia="Times New Roman" w:hAnsi="Helvetica" w:cs="Helvetica"/>
          <w:i/>
          <w:iCs/>
          <w:color w:val="000000"/>
          <w:sz w:val="24"/>
          <w:szCs w:val="24"/>
          <w:lang w:eastAsia="nl-NL"/>
        </w:rPr>
        <w:t xml:space="preserve">primum non nocere") </w:t>
      </w:r>
      <w:r>
        <w:rPr>
          <w:rFonts w:ascii="Helvetica" w:eastAsia="Times New Roman" w:hAnsi="Helvetica" w:cs="Helvetica"/>
          <w:color w:val="000000"/>
          <w:sz w:val="24"/>
          <w:szCs w:val="24"/>
          <w:lang w:eastAsia="nl-NL"/>
        </w:rPr>
        <w:t xml:space="preserve">ist der Kern jeder rechtmäßigen Handlung in einem Rechtsstaat. Es ist auch das Kernprinzip des Nürnberger Kodex. Eine medizinische Handlung muss immer zuerst </w:t>
      </w:r>
      <w:r>
        <w:rPr>
          <w:rFonts w:ascii="Helvetica" w:eastAsia="Times New Roman" w:hAnsi="Helvetica" w:cs="Helvetica"/>
          <w:color w:val="000000"/>
          <w:sz w:val="24"/>
          <w:szCs w:val="24"/>
          <w:lang w:eastAsia="nl-NL"/>
        </w:rPr>
        <w:t>dem Interesse des Patienten dienen. Bei jeder medizinischen Maßnahme müssen Kosten und Nutzen abgewogen werden. Es versteht sich von selbst, dass eine medizinische Behandlung nur dann beschlossen werden kann, wenn sie einen eindeutigen gesundheitlichen Nut</w:t>
      </w:r>
      <w:r>
        <w:rPr>
          <w:rFonts w:ascii="Helvetica" w:eastAsia="Times New Roman" w:hAnsi="Helvetica" w:cs="Helvetica"/>
          <w:color w:val="000000"/>
          <w:sz w:val="24"/>
          <w:szCs w:val="24"/>
          <w:lang w:eastAsia="nl-NL"/>
        </w:rPr>
        <w:t xml:space="preserve">zen in Aussicht stellt. Sie haben dies nicht getan. Damit handeln Sie nicht nur </w:t>
      </w:r>
      <w:r>
        <w:rPr>
          <w:rFonts w:ascii="Helvetica" w:eastAsia="Times New Roman" w:hAnsi="Helvetica" w:cs="Helvetica"/>
          <w:b/>
          <w:bCs/>
          <w:color w:val="000000"/>
          <w:sz w:val="24"/>
          <w:szCs w:val="24"/>
          <w:lang w:eastAsia="nl-NL"/>
        </w:rPr>
        <w:t>rechtswidrig</w:t>
      </w:r>
      <w:r>
        <w:rPr>
          <w:rFonts w:ascii="Helvetica" w:eastAsia="Times New Roman" w:hAnsi="Helvetica" w:cs="Helvetica"/>
          <w:color w:val="000000"/>
          <w:sz w:val="24"/>
          <w:szCs w:val="24"/>
          <w:lang w:eastAsia="nl-NL"/>
        </w:rPr>
        <w:t xml:space="preserve">, sondern auch </w:t>
      </w:r>
      <w:r>
        <w:rPr>
          <w:rFonts w:ascii="Helvetica" w:eastAsia="Times New Roman" w:hAnsi="Helvetica" w:cs="Helvetica"/>
          <w:b/>
          <w:bCs/>
          <w:color w:val="000000"/>
          <w:sz w:val="24"/>
          <w:szCs w:val="24"/>
          <w:lang w:eastAsia="nl-NL"/>
        </w:rPr>
        <w:t xml:space="preserve">unmoralisch </w:t>
      </w:r>
      <w:r>
        <w:rPr>
          <w:rFonts w:ascii="Helvetica" w:eastAsia="Times New Roman" w:hAnsi="Helvetica" w:cs="Helvetica"/>
          <w:color w:val="000000"/>
          <w:sz w:val="24"/>
          <w:szCs w:val="24"/>
          <w:lang w:eastAsia="nl-NL"/>
        </w:rPr>
        <w:t xml:space="preserve">und </w:t>
      </w:r>
      <w:r>
        <w:rPr>
          <w:rFonts w:ascii="Helvetica" w:eastAsia="Times New Roman" w:hAnsi="Helvetica" w:cs="Helvetica"/>
          <w:b/>
          <w:bCs/>
          <w:color w:val="000000"/>
          <w:sz w:val="24"/>
          <w:szCs w:val="24"/>
          <w:lang w:eastAsia="nl-NL"/>
        </w:rPr>
        <w:t>unethisch</w:t>
      </w:r>
      <w:r>
        <w:rPr>
          <w:rFonts w:ascii="Helvetica" w:eastAsia="Times New Roman" w:hAnsi="Helvetica" w:cs="Helvetica"/>
          <w:color w:val="000000"/>
          <w:sz w:val="24"/>
          <w:szCs w:val="24"/>
          <w:lang w:eastAsia="nl-NL"/>
        </w:rPr>
        <w:t>.</w:t>
      </w:r>
    </w:p>
    <w:p w14:paraId="015AE60C"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Durch Ihr Handeln haben Sie wissentlich Millionen von gesunden Menschen dem Risiko schwerer Nebenwirkungen und des Todes a</w:t>
      </w:r>
      <w:r>
        <w:rPr>
          <w:rFonts w:ascii="Helvetica" w:eastAsia="Times New Roman" w:hAnsi="Helvetica" w:cs="Helvetica"/>
          <w:color w:val="000000"/>
          <w:sz w:val="24"/>
          <w:szCs w:val="24"/>
          <w:lang w:eastAsia="nl-NL"/>
        </w:rPr>
        <w:t>usgesetzt, ohne dass ein gesundheitlicher Nutzen nachgewiesen werden konnte.</w:t>
      </w:r>
    </w:p>
    <w:p w14:paraId="015AE60D"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Diese Risiken scheinen sich in einem noch nie dagewesenen Ausmaß zu verwirklichen.  Nach Berichten an die Lareb (niederländisches Melde- und Wissenszentrum für Nebenwirkungen von </w:t>
      </w:r>
      <w:r>
        <w:rPr>
          <w:rFonts w:ascii="Helvetica" w:eastAsia="Times New Roman" w:hAnsi="Helvetica" w:cs="Helvetica"/>
          <w:color w:val="000000"/>
          <w:sz w:val="24"/>
          <w:szCs w:val="24"/>
          <w:lang w:eastAsia="nl-NL"/>
        </w:rPr>
        <w:t xml:space="preserve">Arzneimitteln, einschließlich Impfstoffen, sowie für die Verwendung von Arzneimitteln während der Schwangerschaft und Stillzeit) haben inzwischen Tausende von zuvor gesunden Menschen schwere körperliche Schäden erlitten, sind gestorben oder im Krankenhaus </w:t>
      </w:r>
      <w:r>
        <w:rPr>
          <w:rFonts w:ascii="Helvetica" w:eastAsia="Times New Roman" w:hAnsi="Helvetica" w:cs="Helvetica"/>
          <w:color w:val="000000"/>
          <w:sz w:val="24"/>
          <w:szCs w:val="24"/>
          <w:lang w:eastAsia="nl-NL"/>
        </w:rPr>
        <w:t>gelandet. Diese Zahlen erfordern einen sofortigen Stopp der Injektionskampagne und eine Überarbeitung der Empfehlungen. Ich möchte Sie daran erinnern, dass während der Schweinegrippe der Impfstoff Pandemrix nach 20 Fällen von Narkolepsie aus dem Programm g</w:t>
      </w:r>
      <w:r>
        <w:rPr>
          <w:rFonts w:ascii="Helvetica" w:eastAsia="Times New Roman" w:hAnsi="Helvetica" w:cs="Helvetica"/>
          <w:color w:val="000000"/>
          <w:sz w:val="24"/>
          <w:szCs w:val="24"/>
          <w:lang w:eastAsia="nl-NL"/>
        </w:rPr>
        <w:t>enommen wurde. Alle derzeitig entstehenden Schäden sind den Mitgliedern Ihres Ausschusses zuzuschreiben.</w:t>
      </w:r>
    </w:p>
    <w:p w14:paraId="015AE60E"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Außerdem tragen Sie mit Ihrem Ratschlag </w:t>
      </w:r>
      <w:r>
        <w:rPr>
          <w:rFonts w:ascii="Helvetica" w:eastAsia="Times New Roman" w:hAnsi="Helvetica" w:cs="Helvetica"/>
          <w:i/>
          <w:iCs/>
          <w:color w:val="000000"/>
          <w:sz w:val="24"/>
          <w:szCs w:val="24"/>
          <w:lang w:eastAsia="nl-NL"/>
        </w:rPr>
        <w:t xml:space="preserve">Ethische und rechtliche Erwägungen COVID-19-Impfung </w:t>
      </w:r>
      <w:r>
        <w:rPr>
          <w:rFonts w:ascii="Helvetica" w:eastAsia="Times New Roman" w:hAnsi="Helvetica" w:cs="Helvetica"/>
          <w:color w:val="000000"/>
          <w:sz w:val="24"/>
          <w:szCs w:val="24"/>
          <w:lang w:eastAsia="nl-NL"/>
        </w:rPr>
        <w:t>(Nr. 2021/03, 4. Februar 202) eine Mitverantwortung für ein</w:t>
      </w:r>
      <w:r>
        <w:rPr>
          <w:rFonts w:ascii="Helvetica" w:eastAsia="Times New Roman" w:hAnsi="Helvetica" w:cs="Helvetica"/>
          <w:color w:val="000000"/>
          <w:sz w:val="24"/>
          <w:szCs w:val="24"/>
          <w:lang w:eastAsia="nl-NL"/>
        </w:rPr>
        <w:t>e Spaltung und Störung der niederländischen Gesellschaft und des Rechtsstaats.</w:t>
      </w:r>
    </w:p>
    <w:p w14:paraId="015AE60F"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Um weiteren Schaden zu begrenzen, ist es von größter Bedeutung, diese Politik so bald wie möglich zu beenden. Die Rücknahme der Stellungnahmen ist dafür unerlässlich. Es folgt e</w:t>
      </w:r>
      <w:r>
        <w:rPr>
          <w:rFonts w:ascii="Helvetica" w:eastAsia="Times New Roman" w:hAnsi="Helvetica" w:cs="Helvetica"/>
          <w:color w:val="000000"/>
          <w:sz w:val="24"/>
          <w:szCs w:val="24"/>
          <w:lang w:eastAsia="nl-NL"/>
        </w:rPr>
        <w:t>ine Erläuterung der Unnachahmlichkeit und Rechtswidrigkeit Ihrer Empfehlungen.</w:t>
      </w:r>
    </w:p>
    <w:p w14:paraId="015AE610"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Fehlerhafte Beratung</w:t>
      </w:r>
    </w:p>
    <w:p w14:paraId="015AE611"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lastRenderedPageBreak/>
        <w:t xml:space="preserve">Der oben beschriebene Bewertungsrahmen setzt für die Aufnahme in ein öffentliches Impfprogramm voraus, dass eine erhebliche Krankheitslast vorliegt und </w:t>
      </w:r>
      <w:r>
        <w:rPr>
          <w:rFonts w:ascii="Helvetica" w:eastAsia="Times New Roman" w:hAnsi="Helvetica" w:cs="Helvetica"/>
          <w:color w:val="000000"/>
          <w:sz w:val="24"/>
          <w:szCs w:val="24"/>
          <w:lang w:eastAsia="nl-NL"/>
        </w:rPr>
        <w:t>die Sicherheit und Wirksamkeit der Impfstoffe nachgewiesen ist. Außerdem muss die Belastung des Einzelnen in einem angemessenen Verhältnis zum Gesundheitsgewinn des Einzelnen und der Bevölkerung insgesamt stehen. Dies bestimmt die Akzeptanz. Außerdem müsse</w:t>
      </w:r>
      <w:r>
        <w:rPr>
          <w:rFonts w:ascii="Helvetica" w:eastAsia="Times New Roman" w:hAnsi="Helvetica" w:cs="Helvetica"/>
          <w:color w:val="000000"/>
          <w:sz w:val="24"/>
          <w:szCs w:val="24"/>
          <w:lang w:eastAsia="nl-NL"/>
        </w:rPr>
        <w:t>n die Anforderungen an Effizienz und Prioritätensetzung erfüllt werden. Dies bedeutet, dass das Verhältnis zwischen den Kosten und dem gesundheitlichen Nutzen im Vergleich zu anderen Möglichkeiten der Krankheitsbekämpfung günstig sein muss und die Wahl der</w:t>
      </w:r>
      <w:r>
        <w:rPr>
          <w:rFonts w:ascii="Helvetica" w:eastAsia="Times New Roman" w:hAnsi="Helvetica" w:cs="Helvetica"/>
          <w:color w:val="000000"/>
          <w:sz w:val="24"/>
          <w:szCs w:val="24"/>
          <w:lang w:eastAsia="nl-NL"/>
        </w:rPr>
        <w:t xml:space="preserve"> Impfung einem (tatsächlichen oder potenziellen) dringenden Interesse der öffentlichen Gesundheit dienen muss.</w:t>
      </w:r>
    </w:p>
    <w:p w14:paraId="015AE612"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Es handelt sich um einen hierarchisch strukturierten Bewertungsrahmen. Das bedeutet, dass, wenn ein Kriterium zu einem negativen Ergebnis führt, </w:t>
      </w:r>
      <w:r>
        <w:rPr>
          <w:rFonts w:ascii="Helvetica" w:eastAsia="Times New Roman" w:hAnsi="Helvetica" w:cs="Helvetica"/>
          <w:color w:val="000000"/>
          <w:sz w:val="24"/>
          <w:szCs w:val="24"/>
          <w:lang w:eastAsia="nl-NL"/>
        </w:rPr>
        <w:t xml:space="preserve">das Folgende nicht weiter bewertet werden muss. </w:t>
      </w:r>
      <w:hyperlink r:id="rId8" w:anchor="_ftn4" w:history="1">
        <w:bookmarkStart w:id="3" w:name="_ftnref4"/>
        <w:r>
          <w:rPr>
            <w:rFonts w:ascii="Helvetica" w:eastAsia="Times New Roman" w:hAnsi="Helvetica" w:cs="Helvetica"/>
            <w:color w:val="EC8823"/>
            <w:sz w:val="24"/>
            <w:szCs w:val="24"/>
            <w:vertAlign w:val="superscript"/>
            <w:lang w:eastAsia="nl-NL"/>
          </w:rPr>
          <w:t xml:space="preserve">[4] </w:t>
        </w:r>
      </w:hyperlink>
      <w:bookmarkEnd w:id="3"/>
      <w:r>
        <w:rPr>
          <w:rFonts w:ascii="Helvetica" w:eastAsia="Times New Roman" w:hAnsi="Helvetica" w:cs="Helvetica"/>
          <w:color w:val="000000"/>
          <w:sz w:val="24"/>
          <w:szCs w:val="24"/>
          <w:lang w:eastAsia="nl-NL"/>
        </w:rPr>
        <w:t>In diesem Fall kann der Ausschuss nur eine negative Empfehlung abgeben. Im Folgenden wird deutlich, dass ke</w:t>
      </w:r>
      <w:r>
        <w:rPr>
          <w:rFonts w:ascii="Helvetica" w:eastAsia="Times New Roman" w:hAnsi="Helvetica" w:cs="Helvetica"/>
          <w:color w:val="000000"/>
          <w:sz w:val="24"/>
          <w:szCs w:val="24"/>
          <w:lang w:eastAsia="nl-NL"/>
        </w:rPr>
        <w:t>ines dieser Kriterien erfüllt ist.</w:t>
      </w:r>
    </w:p>
    <w:p w14:paraId="015AE613"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Krankheitslast</w:t>
      </w:r>
    </w:p>
    <w:p w14:paraId="015AE614"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Die erste Voraussetzung ist, dass </w:t>
      </w:r>
      <w:r>
        <w:rPr>
          <w:rFonts w:ascii="Helvetica" w:eastAsia="Times New Roman" w:hAnsi="Helvetica" w:cs="Helvetica"/>
          <w:i/>
          <w:iCs/>
          <w:color w:val="000000"/>
          <w:sz w:val="24"/>
          <w:szCs w:val="24"/>
          <w:lang w:eastAsia="nl-NL"/>
        </w:rPr>
        <w:t xml:space="preserve">kein Zweifel daran besteht, dass die Infektionskrankheit für den Einzelnen schwerwiegend ist und (potenziell) eine große Gruppe betrifft. </w:t>
      </w:r>
      <w:r>
        <w:rPr>
          <w:rFonts w:ascii="Helvetica" w:eastAsia="Times New Roman" w:hAnsi="Helvetica" w:cs="Helvetica"/>
          <w:color w:val="000000"/>
          <w:sz w:val="24"/>
          <w:szCs w:val="24"/>
          <w:lang w:eastAsia="nl-NL"/>
        </w:rPr>
        <w:t xml:space="preserve">In dem Gutachten bezieht sich der </w:t>
      </w:r>
      <w:r>
        <w:rPr>
          <w:rFonts w:ascii="Helvetica" w:eastAsia="Times New Roman" w:hAnsi="Helvetica" w:cs="Helvetica"/>
          <w:color w:val="000000"/>
          <w:sz w:val="24"/>
          <w:szCs w:val="24"/>
          <w:lang w:eastAsia="nl-NL"/>
        </w:rPr>
        <w:t>Ausschuss auf die Zahl der bestätigten COVID-19-Fälle oder -Infektionen. In Wirklichkeit handelt es sich um positive PCR-Tests.</w:t>
      </w:r>
    </w:p>
    <w:p w14:paraId="015AE615"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Ein positiver PCR-Test ist jedoch </w:t>
      </w:r>
      <w:r>
        <w:rPr>
          <w:rFonts w:ascii="Helvetica" w:eastAsia="Times New Roman" w:hAnsi="Helvetica" w:cs="Helvetica"/>
          <w:b/>
          <w:bCs/>
          <w:color w:val="000000"/>
          <w:sz w:val="24"/>
          <w:szCs w:val="24"/>
          <w:lang w:eastAsia="nl-NL"/>
        </w:rPr>
        <w:t xml:space="preserve">weder eine </w:t>
      </w:r>
      <w:r>
        <w:rPr>
          <w:rFonts w:ascii="Helvetica" w:eastAsia="Times New Roman" w:hAnsi="Helvetica" w:cs="Helvetica"/>
          <w:color w:val="000000"/>
          <w:sz w:val="24"/>
          <w:szCs w:val="24"/>
          <w:lang w:eastAsia="nl-NL"/>
        </w:rPr>
        <w:t xml:space="preserve">Diagnose noch ein bestätigter Krankheitsfall. Dies wurde in zwei von Viruswaarheid </w:t>
      </w:r>
      <w:r>
        <w:rPr>
          <w:rFonts w:ascii="Helvetica" w:eastAsia="Times New Roman" w:hAnsi="Helvetica" w:cs="Helvetica"/>
          <w:color w:val="000000"/>
          <w:sz w:val="24"/>
          <w:szCs w:val="24"/>
          <w:lang w:eastAsia="nl-NL"/>
        </w:rPr>
        <w:t>durchgeführten Gerichtsverfahren festgestellt. Mit Urteil vom 9. Dezember 2020 entschied der Richter des vorläufigen Rechtsschutzes (C/091602 130/ KG ZA 20-1060):</w:t>
      </w:r>
    </w:p>
    <w:p w14:paraId="015AE616" w14:textId="77777777" w:rsidR="002C53C4" w:rsidRDefault="00E91CB4">
      <w:pPr>
        <w:shd w:val="clear" w:color="auto" w:fill="FFFFFF"/>
        <w:spacing w:after="0" w:line="240" w:lineRule="auto"/>
        <w:textAlignment w:val="baseline"/>
      </w:pPr>
      <w:r>
        <w:rPr>
          <w:rFonts w:ascii="Helvetica" w:eastAsia="Times New Roman" w:hAnsi="Helvetica" w:cs="Helvetica"/>
          <w:i/>
          <w:iCs/>
          <w:color w:val="000000"/>
          <w:sz w:val="24"/>
          <w:szCs w:val="24"/>
          <w:lang w:eastAsia="nl-NL"/>
        </w:rPr>
        <w:t xml:space="preserve"> "Die hier präsentierten Zahlen basieren offenbar nur auf positiven Testergebnissen, während </w:t>
      </w:r>
      <w:r>
        <w:rPr>
          <w:rFonts w:ascii="Helvetica" w:eastAsia="Times New Roman" w:hAnsi="Helvetica" w:cs="Helvetica"/>
          <w:i/>
          <w:iCs/>
          <w:color w:val="000000"/>
          <w:sz w:val="24"/>
          <w:szCs w:val="24"/>
          <w:lang w:eastAsia="nl-NL"/>
        </w:rPr>
        <w:t>das Wort 'Patient' suggeriert, dass die Betroffenen diagnostiziert worden sind.</w:t>
      </w:r>
    </w:p>
    <w:p w14:paraId="015AE617" w14:textId="77777777" w:rsidR="002C53C4" w:rsidRDefault="00E91CB4">
      <w:pPr>
        <w:shd w:val="clear" w:color="auto" w:fill="FFFFFF"/>
        <w:spacing w:after="0" w:line="240" w:lineRule="auto"/>
        <w:textAlignment w:val="baseline"/>
      </w:pPr>
      <w:r>
        <w:rPr>
          <w:rFonts w:ascii="Helvetica" w:eastAsia="Times New Roman" w:hAnsi="Helvetica" w:cs="Helvetica"/>
          <w:i/>
          <w:iCs/>
          <w:color w:val="000000"/>
          <w:sz w:val="24"/>
          <w:szCs w:val="24"/>
          <w:lang w:eastAsia="nl-NL"/>
        </w:rPr>
        <w:t>(R.O. 4.23) (...) "</w:t>
      </w:r>
      <w:r>
        <w:rPr>
          <w:rFonts w:ascii="Helvetica" w:eastAsia="Times New Roman" w:hAnsi="Helvetica" w:cs="Helvetica"/>
          <w:b/>
          <w:bCs/>
          <w:i/>
          <w:iCs/>
          <w:color w:val="000000"/>
          <w:sz w:val="24"/>
          <w:szCs w:val="24"/>
          <w:lang w:eastAsia="nl-NL"/>
        </w:rPr>
        <w:t>Nach Ansicht des Richters im Verfahren des vorläufigen Rechtsschutzes ist dies eine falsche Auslegung</w:t>
      </w:r>
      <w:r>
        <w:rPr>
          <w:rFonts w:ascii="Helvetica" w:eastAsia="Times New Roman" w:hAnsi="Helvetica" w:cs="Helvetica"/>
          <w:i/>
          <w:iCs/>
          <w:color w:val="000000"/>
          <w:sz w:val="24"/>
          <w:szCs w:val="24"/>
          <w:lang w:eastAsia="nl-NL"/>
        </w:rPr>
        <w:t>, (...)".</w:t>
      </w:r>
    </w:p>
    <w:p w14:paraId="015AE618"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 In der Berufung gegen dieses Urteil befand da</w:t>
      </w:r>
      <w:r>
        <w:rPr>
          <w:rFonts w:ascii="Helvetica" w:eastAsia="Times New Roman" w:hAnsi="Helvetica" w:cs="Helvetica"/>
          <w:color w:val="000000"/>
          <w:sz w:val="24"/>
          <w:szCs w:val="24"/>
          <w:lang w:eastAsia="nl-NL"/>
        </w:rPr>
        <w:t>s Berufungsgericht Den Haag in seinem Urteil vom 18. Mai 2021 (Aktenzeichen: 200.287.733/01):</w:t>
      </w:r>
    </w:p>
    <w:p w14:paraId="015AE619" w14:textId="77777777" w:rsidR="002C53C4" w:rsidRDefault="00E91CB4">
      <w:pPr>
        <w:shd w:val="clear" w:color="auto" w:fill="FFFFFF"/>
        <w:spacing w:after="0" w:line="240" w:lineRule="auto"/>
        <w:textAlignment w:val="baseline"/>
      </w:pPr>
      <w:r>
        <w:rPr>
          <w:rFonts w:ascii="Helvetica" w:eastAsia="Times New Roman" w:hAnsi="Helvetica" w:cs="Helvetica"/>
          <w:i/>
          <w:iCs/>
          <w:color w:val="000000"/>
          <w:sz w:val="24"/>
          <w:szCs w:val="24"/>
          <w:lang w:eastAsia="nl-NL"/>
        </w:rPr>
        <w:t>"5.8 Die Stiftung und andere haben argumentiert, dass der Staat keine Schlussfolgerungen aus einem positiven PCR-Testergebnis ziehen darf, da eine positiv geteste</w:t>
      </w:r>
      <w:r>
        <w:rPr>
          <w:rFonts w:ascii="Helvetica" w:eastAsia="Times New Roman" w:hAnsi="Helvetica" w:cs="Helvetica"/>
          <w:i/>
          <w:iCs/>
          <w:color w:val="000000"/>
          <w:sz w:val="24"/>
          <w:szCs w:val="24"/>
          <w:lang w:eastAsia="nl-NL"/>
        </w:rPr>
        <w:t>te Person ohne weitere diagnostische Tests nicht als Covid-19-Patient angesehen werden darf. Dieses Argument ist nicht stichhaltig. Der Staat verwendet das Ergebnis des PCR-Tests nicht für eine Diagnose der getesteten Person. In der Mitteilung weist der St</w:t>
      </w:r>
      <w:r>
        <w:rPr>
          <w:rFonts w:ascii="Helvetica" w:eastAsia="Times New Roman" w:hAnsi="Helvetica" w:cs="Helvetica"/>
          <w:i/>
          <w:iCs/>
          <w:color w:val="000000"/>
          <w:sz w:val="24"/>
          <w:szCs w:val="24"/>
          <w:lang w:eastAsia="nl-NL"/>
        </w:rPr>
        <w:t xml:space="preserve">aat darauf hin, dass die positiv getesteten Personen "Corona" oder "das Coronavirus" in sich tragen. </w:t>
      </w:r>
      <w:r>
        <w:rPr>
          <w:rFonts w:ascii="Helvetica" w:eastAsia="Times New Roman" w:hAnsi="Helvetica" w:cs="Helvetica"/>
          <w:b/>
          <w:bCs/>
          <w:i/>
          <w:iCs/>
          <w:color w:val="000000"/>
          <w:sz w:val="24"/>
          <w:szCs w:val="24"/>
          <w:lang w:eastAsia="nl-NL"/>
        </w:rPr>
        <w:t>Der Staat schließt aus dem Testergebnis nicht, dass die getestete Person krank ist und teilt dies auch nicht mit".</w:t>
      </w:r>
    </w:p>
    <w:p w14:paraId="015AE61A"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Hier darf es keine Missverständnisse geb</w:t>
      </w:r>
      <w:r>
        <w:rPr>
          <w:rFonts w:ascii="Helvetica" w:eastAsia="Times New Roman" w:hAnsi="Helvetica" w:cs="Helvetica"/>
          <w:color w:val="000000"/>
          <w:sz w:val="24"/>
          <w:szCs w:val="24"/>
          <w:lang w:eastAsia="nl-NL"/>
        </w:rPr>
        <w:t xml:space="preserve">en: Ein positiver Test darf und kann </w:t>
      </w:r>
      <w:r>
        <w:rPr>
          <w:rFonts w:ascii="Helvetica" w:eastAsia="Times New Roman" w:hAnsi="Helvetica" w:cs="Helvetica"/>
          <w:b/>
          <w:bCs/>
          <w:color w:val="000000"/>
          <w:sz w:val="24"/>
          <w:szCs w:val="24"/>
          <w:lang w:eastAsia="nl-NL"/>
        </w:rPr>
        <w:t xml:space="preserve">nicht </w:t>
      </w:r>
      <w:r>
        <w:rPr>
          <w:rFonts w:ascii="Helvetica" w:eastAsia="Times New Roman" w:hAnsi="Helvetica" w:cs="Helvetica"/>
          <w:color w:val="000000"/>
          <w:sz w:val="24"/>
          <w:szCs w:val="24"/>
          <w:lang w:eastAsia="nl-NL"/>
        </w:rPr>
        <w:t xml:space="preserve">als Krankheitsfall interpretiert werden. Diese Menschen sind weder krank, noch wurde nachgewiesen, dass sie eine Gefahr für andere darstellen. Es gibt also keine Hinweise auf eine signifikante </w:t>
      </w:r>
      <w:r>
        <w:rPr>
          <w:rFonts w:ascii="Helvetica" w:eastAsia="Times New Roman" w:hAnsi="Helvetica" w:cs="Helvetica"/>
          <w:color w:val="000000"/>
          <w:sz w:val="24"/>
          <w:szCs w:val="24"/>
          <w:lang w:eastAsia="nl-NL"/>
        </w:rPr>
        <w:t>Krankheitslast. Dies ist seit anderthalb Jahren nicht mehr der Fall, was bedeutet, dass dieses Virus nachweislich keine Gefahr für die Gesundheit von 99,82 % der Bevölkerung darstellt. Indem Sie PCR-Tests als Krankheitsfälle bezeichnen, führen Sie sowohl d</w:t>
      </w:r>
      <w:r>
        <w:rPr>
          <w:rFonts w:ascii="Helvetica" w:eastAsia="Times New Roman" w:hAnsi="Helvetica" w:cs="Helvetica"/>
          <w:color w:val="000000"/>
          <w:sz w:val="24"/>
          <w:szCs w:val="24"/>
          <w:lang w:eastAsia="nl-NL"/>
        </w:rPr>
        <w:t>en Minister als auch die Öffentlichkeit wissentlich in die Irre.</w:t>
      </w:r>
    </w:p>
    <w:p w14:paraId="015AE61B"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lastRenderedPageBreak/>
        <w:t>Damit entfällt die Grundlage für die Legitimität Ihrer Beratung. Denn wenn keine signifikante Krankheitslast nachweisbar ist, dürfen Sie nicht positiv zur Aufnahme einer Impfung in die RVP (i</w:t>
      </w:r>
      <w:r>
        <w:rPr>
          <w:rFonts w:ascii="Helvetica" w:eastAsia="Times New Roman" w:hAnsi="Helvetica" w:cs="Helvetica"/>
          <w:color w:val="000000"/>
          <w:sz w:val="24"/>
          <w:szCs w:val="24"/>
          <w:lang w:eastAsia="nl-NL"/>
        </w:rPr>
        <w:t>nternationales Impfprogramm der Niederlande) raten.</w:t>
      </w:r>
    </w:p>
    <w:p w14:paraId="015AE61C"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Der Vollständigkeit halber werden die anderen Argumente zur Krankheitslast im Folgenden kurz erörtert.</w:t>
      </w:r>
    </w:p>
    <w:p w14:paraId="015AE61D"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Der Ratschlag besagt, dass ältere Menschen ab dem 60. Lebensjahr ein stark erhöhtes Risiko für einen </w:t>
      </w:r>
      <w:r>
        <w:rPr>
          <w:rFonts w:ascii="Helvetica" w:eastAsia="Times New Roman" w:hAnsi="Helvetica" w:cs="Helvetica"/>
          <w:color w:val="000000"/>
          <w:sz w:val="24"/>
          <w:szCs w:val="24"/>
          <w:lang w:eastAsia="nl-NL"/>
        </w:rPr>
        <w:t>schweren Verlauf und den Tod haben. Das ist richtig. Es besteht ein Zusammenhang zwischen der Krankheitslast und dem Alter, da das Immunsystem im Alter geschwächt ist. Es ist nicht ungewöhnlich, dass ältere Menschen an einem Erkältungsvirus oder an anderen</w:t>
      </w:r>
      <w:r>
        <w:rPr>
          <w:rFonts w:ascii="Helvetica" w:eastAsia="Times New Roman" w:hAnsi="Helvetica" w:cs="Helvetica"/>
          <w:color w:val="000000"/>
          <w:sz w:val="24"/>
          <w:szCs w:val="24"/>
          <w:lang w:eastAsia="nl-NL"/>
        </w:rPr>
        <w:t xml:space="preserve"> viralen oder bakteriellen Infektionen sterben. Dies ist eine bekannte Tatsache, die bei der Erteilung des Rates hätte berücksichtigt werden müssen. Das bedeutet, dass die Zahlen, die für die Krankheitslast verwendet werden, schuldhaft falsch gewichtet und</w:t>
      </w:r>
      <w:r>
        <w:rPr>
          <w:rFonts w:ascii="Helvetica" w:eastAsia="Times New Roman" w:hAnsi="Helvetica" w:cs="Helvetica"/>
          <w:color w:val="000000"/>
          <w:sz w:val="24"/>
          <w:szCs w:val="24"/>
          <w:lang w:eastAsia="nl-NL"/>
        </w:rPr>
        <w:t xml:space="preserve"> per Definition unzuverlässig sind. </w:t>
      </w:r>
      <w:hyperlink r:id="rId9" w:anchor="_ftn5" w:history="1">
        <w:bookmarkStart w:id="4" w:name="_ftnref5"/>
        <w:r>
          <w:rPr>
            <w:rFonts w:ascii="Helvetica" w:eastAsia="Times New Roman" w:hAnsi="Helvetica" w:cs="Helvetica"/>
            <w:color w:val="EC8823"/>
            <w:sz w:val="24"/>
            <w:szCs w:val="24"/>
            <w:vertAlign w:val="superscript"/>
            <w:lang w:eastAsia="nl-NL"/>
          </w:rPr>
          <w:t xml:space="preserve">[5] </w:t>
        </w:r>
      </w:hyperlink>
      <w:bookmarkEnd w:id="4"/>
    </w:p>
    <w:p w14:paraId="015AE61E"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In Bezug auf Jugendliche erwähnt der Ausschuss auch das </w:t>
      </w:r>
      <w:r>
        <w:rPr>
          <w:rFonts w:ascii="Helvetica" w:eastAsia="Times New Roman" w:hAnsi="Helvetica" w:cs="Helvetica"/>
          <w:i/>
          <w:iCs/>
          <w:color w:val="000000"/>
          <w:sz w:val="24"/>
          <w:szCs w:val="24"/>
          <w:lang w:eastAsia="nl-NL"/>
        </w:rPr>
        <w:t xml:space="preserve">multisystemische Entzündungssyndrom </w:t>
      </w:r>
      <w:r>
        <w:rPr>
          <w:rFonts w:ascii="Helvetica" w:eastAsia="Times New Roman" w:hAnsi="Helvetica" w:cs="Helvetica"/>
          <w:color w:val="000000"/>
          <w:sz w:val="24"/>
          <w:szCs w:val="24"/>
          <w:lang w:eastAsia="nl-NL"/>
        </w:rPr>
        <w:t>als mögliche Folge von COV</w:t>
      </w:r>
      <w:r>
        <w:rPr>
          <w:rFonts w:ascii="Helvetica" w:eastAsia="Times New Roman" w:hAnsi="Helvetica" w:cs="Helvetica"/>
          <w:color w:val="000000"/>
          <w:sz w:val="24"/>
          <w:szCs w:val="24"/>
          <w:lang w:eastAsia="nl-NL"/>
        </w:rPr>
        <w:t>ID-19. Der Ausschuss stellt jedoch auch fest, dass es sich um eine sehr seltene Erkrankung handelt, an der keiner der Jugendlichen gestorben ist. Darüber hinaus schließt der Ausschuss nicht aus, dass andere Ursachen, wie etwa eine Koinfektion, eine Rolle g</w:t>
      </w:r>
      <w:r>
        <w:rPr>
          <w:rFonts w:ascii="Helvetica" w:eastAsia="Times New Roman" w:hAnsi="Helvetica" w:cs="Helvetica"/>
          <w:color w:val="000000"/>
          <w:sz w:val="24"/>
          <w:szCs w:val="24"/>
          <w:lang w:eastAsia="nl-NL"/>
        </w:rPr>
        <w:t>espielt haben. Dabei stützt sich der Ausschuss auf unzulässige Argumente.</w:t>
      </w:r>
    </w:p>
    <w:p w14:paraId="015AE61F"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Dies gilt auch für eine Reihe von Fällen von </w:t>
      </w:r>
      <w:r>
        <w:rPr>
          <w:rFonts w:ascii="Helvetica" w:eastAsia="Times New Roman" w:hAnsi="Helvetica" w:cs="Helvetica"/>
          <w:i/>
          <w:iCs/>
          <w:color w:val="000000"/>
          <w:sz w:val="24"/>
          <w:szCs w:val="24"/>
          <w:lang w:eastAsia="nl-NL"/>
        </w:rPr>
        <w:t xml:space="preserve">Lungen-COVID </w:t>
      </w:r>
      <w:r>
        <w:rPr>
          <w:rFonts w:ascii="Helvetica" w:eastAsia="Times New Roman" w:hAnsi="Helvetica" w:cs="Helvetica"/>
          <w:color w:val="000000"/>
          <w:sz w:val="24"/>
          <w:szCs w:val="24"/>
          <w:lang w:eastAsia="nl-NL"/>
        </w:rPr>
        <w:t>bei jungen Menschen. Die genannten Beschwerden wie Schlaflosigkeit, Atembeschwerden, verstopfte Nase, Müdigkeit, Muskel- und</w:t>
      </w:r>
      <w:r>
        <w:rPr>
          <w:rFonts w:ascii="Helvetica" w:eastAsia="Times New Roman" w:hAnsi="Helvetica" w:cs="Helvetica"/>
          <w:color w:val="000000"/>
          <w:sz w:val="24"/>
          <w:szCs w:val="24"/>
          <w:lang w:eastAsia="nl-NL"/>
        </w:rPr>
        <w:t xml:space="preserve"> Gelenkschmerzen sowie Konzentrationsschwierigkeiten treten bei vielen Virusinfektionen auf. In den Stellungnahmen wird darauf hingewiesen, dass dies nur durch </w:t>
      </w:r>
      <w:r>
        <w:rPr>
          <w:rFonts w:ascii="Helvetica" w:eastAsia="Times New Roman" w:hAnsi="Helvetica" w:cs="Helvetica"/>
          <w:i/>
          <w:iCs/>
          <w:color w:val="000000"/>
          <w:sz w:val="24"/>
          <w:szCs w:val="24"/>
          <w:lang w:eastAsia="nl-NL"/>
        </w:rPr>
        <w:t xml:space="preserve">nicht von Fachleuten überprüfte </w:t>
      </w:r>
      <w:r>
        <w:rPr>
          <w:rFonts w:ascii="Helvetica" w:eastAsia="Times New Roman" w:hAnsi="Helvetica" w:cs="Helvetica"/>
          <w:color w:val="000000"/>
          <w:sz w:val="24"/>
          <w:szCs w:val="24"/>
          <w:lang w:eastAsia="nl-NL"/>
        </w:rPr>
        <w:t>deskriptive Studien belegt ist, aus denen keine Schlussfolgerung</w:t>
      </w:r>
      <w:r>
        <w:rPr>
          <w:rFonts w:ascii="Helvetica" w:eastAsia="Times New Roman" w:hAnsi="Helvetica" w:cs="Helvetica"/>
          <w:color w:val="000000"/>
          <w:sz w:val="24"/>
          <w:szCs w:val="24"/>
          <w:lang w:eastAsia="nl-NL"/>
        </w:rPr>
        <w:t>en gezogen werden können. Dieses Argument beweist in der Tat, dass COVID-19 für junge Menschen nur ein geringes Gesundheitsrisiko darstellt.</w:t>
      </w:r>
    </w:p>
    <w:p w14:paraId="015AE620"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Der vorübergehende Ausschuss argumentiert auch, dass es indirekte Auswirkungen auf die Gesundheit gibt. Insbesonder</w:t>
      </w:r>
      <w:r>
        <w:rPr>
          <w:rFonts w:ascii="Helvetica" w:eastAsia="Times New Roman" w:hAnsi="Helvetica" w:cs="Helvetica"/>
          <w:color w:val="000000"/>
          <w:sz w:val="24"/>
          <w:szCs w:val="24"/>
          <w:lang w:eastAsia="nl-NL"/>
        </w:rPr>
        <w:t>e junge Menschen, die zu medizinischen Risikogruppen gehören, können den Empfehlungen zufolge unverhältnismäßig starke psychische und sozial-emotionale Folgen der Epidemie erfahren. Diese Gruppe kann zum Beispiel weiterhin befürchten, ernsthaft krank zu we</w:t>
      </w:r>
      <w:r>
        <w:rPr>
          <w:rFonts w:ascii="Helvetica" w:eastAsia="Times New Roman" w:hAnsi="Helvetica" w:cs="Helvetica"/>
          <w:color w:val="000000"/>
          <w:sz w:val="24"/>
          <w:szCs w:val="24"/>
          <w:lang w:eastAsia="nl-NL"/>
        </w:rPr>
        <w:t>rden. Ihr allgemeines Wohlbefinden würde sich durch die Impfung verbessern. Sie würden ihre Freiheiten zurückerhalten und wieder zur Schule gehen können.</w:t>
      </w:r>
    </w:p>
    <w:p w14:paraId="015AE621"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Dies sind jedoch die Folgen einer verfehlten Politik und einer Desinformationskampagne der Regierung u</w:t>
      </w:r>
      <w:r>
        <w:rPr>
          <w:rFonts w:ascii="Helvetica" w:eastAsia="Times New Roman" w:hAnsi="Helvetica" w:cs="Helvetica"/>
          <w:color w:val="000000"/>
          <w:sz w:val="24"/>
          <w:szCs w:val="24"/>
          <w:lang w:eastAsia="nl-NL"/>
        </w:rPr>
        <w:t>nd der Medien. Nach Artikel 3 des Übereinkommens über die Rechte des Kindes dürfen Kindern keine Maßnahmen auferlegt werden, die nicht ihrer eigenen Gesundheit dienen. Dies sind keine Folgen eines Virus. Im Gegenteil: Aus einer sozialen Kosten-Nutzen-Analy</w:t>
      </w:r>
      <w:r>
        <w:rPr>
          <w:rFonts w:ascii="Helvetica" w:eastAsia="Times New Roman" w:hAnsi="Helvetica" w:cs="Helvetica"/>
          <w:color w:val="000000"/>
          <w:sz w:val="24"/>
          <w:szCs w:val="24"/>
          <w:lang w:eastAsia="nl-NL"/>
        </w:rPr>
        <w:t xml:space="preserve">se von Anfang April 2020 wusste die Regierung bereits, dass die negativen Auswirkungen auf die öffentliche Gesundheit und der finanzielle Schaden so groß waren, dass die möglichen positiven Effekte von vornherein in den Schatten gestellt würden. </w:t>
      </w:r>
      <w:hyperlink r:id="rId10" w:anchor="_ftn6" w:history="1">
        <w:bookmarkStart w:id="5" w:name="_ftnref6"/>
        <w:r>
          <w:rPr>
            <w:rFonts w:ascii="Helvetica" w:eastAsia="Times New Roman" w:hAnsi="Helvetica" w:cs="Helvetica"/>
            <w:color w:val="EC8823"/>
            <w:sz w:val="24"/>
            <w:szCs w:val="24"/>
            <w:vertAlign w:val="superscript"/>
            <w:lang w:eastAsia="nl-NL"/>
          </w:rPr>
          <w:t xml:space="preserve">[6] </w:t>
        </w:r>
      </w:hyperlink>
      <w:bookmarkEnd w:id="5"/>
    </w:p>
    <w:p w14:paraId="015AE622"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Das Anbieten von Impfungen</w:t>
      </w:r>
      <w:r>
        <w:rPr>
          <w:rFonts w:ascii="Helvetica" w:eastAsia="Times New Roman" w:hAnsi="Helvetica" w:cs="Helvetica"/>
          <w:i/>
          <w:iCs/>
          <w:color w:val="000000"/>
          <w:sz w:val="24"/>
          <w:szCs w:val="24"/>
          <w:lang w:eastAsia="nl-NL"/>
        </w:rPr>
        <w:t xml:space="preserve">, in diesem Fall </w:t>
      </w:r>
      <w:r>
        <w:rPr>
          <w:rFonts w:ascii="Helvetica" w:eastAsia="Times New Roman" w:hAnsi="Helvetica" w:cs="Helvetica"/>
          <w:color w:val="000000"/>
          <w:sz w:val="24"/>
          <w:szCs w:val="24"/>
          <w:lang w:eastAsia="nl-NL"/>
        </w:rPr>
        <w:t xml:space="preserve">sogar von experimentellen Gentherapien, </w:t>
      </w:r>
      <w:r>
        <w:rPr>
          <w:rFonts w:ascii="Helvetica" w:eastAsia="Times New Roman" w:hAnsi="Helvetica" w:cs="Helvetica"/>
          <w:i/>
          <w:iCs/>
          <w:color w:val="000000"/>
          <w:sz w:val="24"/>
          <w:szCs w:val="24"/>
          <w:lang w:eastAsia="nl-NL"/>
        </w:rPr>
        <w:t>unter Zwang</w:t>
      </w:r>
      <w:r>
        <w:rPr>
          <w:rFonts w:ascii="Helvetica" w:eastAsia="Times New Roman" w:hAnsi="Helvetica" w:cs="Helvetica"/>
          <w:color w:val="000000"/>
          <w:sz w:val="24"/>
          <w:szCs w:val="24"/>
          <w:lang w:eastAsia="nl-NL"/>
        </w:rPr>
        <w:t xml:space="preserve">, d. h. unter Nötigung und Täuschung, im Austausch gegen Freiheit ist </w:t>
      </w:r>
      <w:r>
        <w:rPr>
          <w:rFonts w:ascii="Helvetica" w:eastAsia="Times New Roman" w:hAnsi="Helvetica" w:cs="Helvetica"/>
          <w:color w:val="000000"/>
          <w:sz w:val="24"/>
          <w:szCs w:val="24"/>
          <w:lang w:eastAsia="nl-NL"/>
        </w:rPr>
        <w:t>ein grober Verstoß gegen international verbindliches Recht. Sie ist ungesetzlich, unmoralisch und unethisch.</w:t>
      </w:r>
    </w:p>
    <w:p w14:paraId="015AE623"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Auch sollten Sie Ihre Entscheidung nicht auf die </w:t>
      </w:r>
      <w:r>
        <w:rPr>
          <w:rFonts w:ascii="Helvetica" w:eastAsia="Times New Roman" w:hAnsi="Helvetica" w:cs="Helvetica"/>
          <w:i/>
          <w:iCs/>
          <w:color w:val="000000"/>
          <w:sz w:val="24"/>
          <w:szCs w:val="24"/>
          <w:lang w:eastAsia="nl-NL"/>
        </w:rPr>
        <w:t xml:space="preserve">erwartete </w:t>
      </w:r>
      <w:r>
        <w:rPr>
          <w:rFonts w:ascii="Helvetica" w:eastAsia="Times New Roman" w:hAnsi="Helvetica" w:cs="Helvetica"/>
          <w:color w:val="000000"/>
          <w:sz w:val="24"/>
          <w:szCs w:val="24"/>
          <w:lang w:eastAsia="nl-NL"/>
        </w:rPr>
        <w:t xml:space="preserve">Krankheitslast möglicher künftiger Varianten stützen. Sie sollten sich darüber im </w:t>
      </w:r>
      <w:r>
        <w:rPr>
          <w:rFonts w:ascii="Helvetica" w:eastAsia="Times New Roman" w:hAnsi="Helvetica" w:cs="Helvetica"/>
          <w:color w:val="000000"/>
          <w:sz w:val="24"/>
          <w:szCs w:val="24"/>
          <w:lang w:eastAsia="nl-NL"/>
        </w:rPr>
        <w:t xml:space="preserve">Klaren sein, dass die Rechtsgrundlage für Maßnahmen nach Kapitel V des Gesetzes über die öffentliche </w:t>
      </w:r>
      <w:r>
        <w:rPr>
          <w:rFonts w:ascii="Helvetica" w:eastAsia="Times New Roman" w:hAnsi="Helvetica" w:cs="Helvetica"/>
          <w:color w:val="000000"/>
          <w:sz w:val="24"/>
          <w:szCs w:val="24"/>
          <w:lang w:eastAsia="nl-NL"/>
        </w:rPr>
        <w:lastRenderedPageBreak/>
        <w:t>Gesundheit auf die Bekämpfung einer aktuellen, hochgradig tödlichen und ansteckenden Infektionskrankheit beschränkt ist und nicht auf die Verhütung möglich</w:t>
      </w:r>
      <w:r>
        <w:rPr>
          <w:rFonts w:ascii="Helvetica" w:eastAsia="Times New Roman" w:hAnsi="Helvetica" w:cs="Helvetica"/>
          <w:color w:val="000000"/>
          <w:sz w:val="24"/>
          <w:szCs w:val="24"/>
          <w:lang w:eastAsia="nl-NL"/>
        </w:rPr>
        <w:t>er künftiger Varianten, die eine nachweisbare Krankheitslast haben können oder nicht. Es muss sich um eine nachweisbare Epidemie handeln, die eine ernsthafte Gefahr für die Gesundheit der gesamten Bevölkerung darstellt. Das haben Sie nicht bewiesen und kön</w:t>
      </w:r>
      <w:r>
        <w:rPr>
          <w:rFonts w:ascii="Helvetica" w:eastAsia="Times New Roman" w:hAnsi="Helvetica" w:cs="Helvetica"/>
          <w:color w:val="000000"/>
          <w:sz w:val="24"/>
          <w:szCs w:val="24"/>
          <w:lang w:eastAsia="nl-NL"/>
        </w:rPr>
        <w:t>nen es auch nicht beweisen.</w:t>
      </w:r>
    </w:p>
    <w:p w14:paraId="015AE624"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Aus den öffentlich zugänglichen Statistiken des CBS (Zentrales Amt für Statistik) und des NIVEL (Nationales Institut für öffentliche Gesundheit und Umwelt) geht keine signifikante Belastung der Gesellschaft durch Krankheiten her</w:t>
      </w:r>
      <w:r>
        <w:rPr>
          <w:rFonts w:ascii="Helvetica" w:eastAsia="Times New Roman" w:hAnsi="Helvetica" w:cs="Helvetica"/>
          <w:color w:val="000000"/>
          <w:sz w:val="24"/>
          <w:szCs w:val="24"/>
          <w:lang w:eastAsia="nl-NL"/>
        </w:rPr>
        <w:t>vor. Dies sollte sich z. B. in den Krankenhauseinweisungen niederschlagen. Im "Pandemiejahr" 2020 waren die Krankenhauseinweisungen jedoch deutlich niedriger als in den Vorjahren. Die Zahl der Einweisungen in die Intensivstation ist im Vergleich zu 2019 so</w:t>
      </w:r>
      <w:r>
        <w:rPr>
          <w:rFonts w:ascii="Helvetica" w:eastAsia="Times New Roman" w:hAnsi="Helvetica" w:cs="Helvetica"/>
          <w:color w:val="000000"/>
          <w:sz w:val="24"/>
          <w:szCs w:val="24"/>
          <w:lang w:eastAsia="nl-NL"/>
        </w:rPr>
        <w:t xml:space="preserve">gar gesunken. Nur in den ersten 14 Wochen wurden vermehrt Patienten mit einer grippeähnlichen Erkrankung gemeldet. Seitdem liegt die Zahl deutlich unter der Epidemiegrenze. Eine großflächige Epidemie ist daher ausgeschlossen. </w:t>
      </w:r>
      <w:hyperlink r:id="rId11" w:anchor="_ftn7" w:history="1">
        <w:bookmarkStart w:id="6" w:name="_ftnref7"/>
        <w:r>
          <w:rPr>
            <w:rFonts w:ascii="Helvetica" w:eastAsia="Times New Roman" w:hAnsi="Helvetica" w:cs="Helvetica"/>
            <w:color w:val="EC8823"/>
            <w:sz w:val="24"/>
            <w:szCs w:val="24"/>
            <w:vertAlign w:val="superscript"/>
            <w:lang w:eastAsia="nl-NL"/>
          </w:rPr>
          <w:t xml:space="preserve">[7] </w:t>
        </w:r>
      </w:hyperlink>
      <w:bookmarkEnd w:id="6"/>
      <w:r>
        <w:rPr>
          <w:rFonts w:ascii="Helvetica" w:eastAsia="Times New Roman" w:hAnsi="Helvetica" w:cs="Helvetica"/>
          <w:color w:val="000000"/>
          <w:sz w:val="24"/>
          <w:szCs w:val="24"/>
          <w:lang w:eastAsia="nl-NL"/>
        </w:rPr>
        <w:t>Sie dürfen in Ihrer Beratung nicht den Eindruck erwecken, dass dies der Fall ist. Das wäre irreführend.</w:t>
      </w:r>
    </w:p>
    <w:p w14:paraId="015AE625"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 xml:space="preserve">Die Schlussfolgerung ist eindeutig. COVID-19 verursacht </w:t>
      </w:r>
      <w:r>
        <w:rPr>
          <w:rFonts w:ascii="Helvetica" w:eastAsia="Times New Roman" w:hAnsi="Helvetica" w:cs="Helvetica"/>
          <w:b/>
          <w:bCs/>
          <w:color w:val="000000"/>
          <w:sz w:val="24"/>
          <w:szCs w:val="24"/>
          <w:u w:val="single"/>
          <w:lang w:eastAsia="nl-NL"/>
        </w:rPr>
        <w:t xml:space="preserve">keine </w:t>
      </w:r>
      <w:r>
        <w:rPr>
          <w:rFonts w:ascii="Helvetica" w:eastAsia="Times New Roman" w:hAnsi="Helvetica" w:cs="Helvetica"/>
          <w:b/>
          <w:bCs/>
          <w:color w:val="000000"/>
          <w:sz w:val="24"/>
          <w:szCs w:val="24"/>
          <w:lang w:eastAsia="nl-NL"/>
        </w:rPr>
        <w:t xml:space="preserve">signifikante Krankheitslast. Daher ist die Aufnahme von COVID-19-Injektionspräparaten in ein öffentliches Impfprogramm </w:t>
      </w:r>
      <w:r>
        <w:rPr>
          <w:rFonts w:ascii="Helvetica" w:eastAsia="Times New Roman" w:hAnsi="Helvetica" w:cs="Helvetica"/>
          <w:b/>
          <w:bCs/>
          <w:color w:val="000000"/>
          <w:sz w:val="24"/>
          <w:szCs w:val="24"/>
          <w:u w:val="single"/>
          <w:lang w:eastAsia="nl-NL"/>
        </w:rPr>
        <w:t>nicht sinnvoll</w:t>
      </w:r>
      <w:r>
        <w:rPr>
          <w:rFonts w:ascii="Helvetica" w:eastAsia="Times New Roman" w:hAnsi="Helvetica" w:cs="Helvetica"/>
          <w:b/>
          <w:bCs/>
          <w:color w:val="000000"/>
          <w:sz w:val="24"/>
          <w:szCs w:val="24"/>
          <w:lang w:eastAsia="nl-NL"/>
        </w:rPr>
        <w:t>.</w:t>
      </w:r>
    </w:p>
    <w:p w14:paraId="015AE626"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Effektivität</w:t>
      </w:r>
    </w:p>
    <w:p w14:paraId="015AE627"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Bei einem öffentlichen Programm, bei dem der Staat die Initiative ergreift und aktiv eine Impfung anbietet, </w:t>
      </w:r>
      <w:r>
        <w:rPr>
          <w:rFonts w:ascii="Helvetica" w:eastAsia="Times New Roman" w:hAnsi="Helvetica" w:cs="Helvetica"/>
          <w:color w:val="000000"/>
          <w:sz w:val="24"/>
          <w:szCs w:val="24"/>
          <w:lang w:eastAsia="nl-NL"/>
        </w:rPr>
        <w:t xml:space="preserve">sind die Anforderungen an die Wirksamkeit und vor allem die Sicherheit </w:t>
      </w:r>
      <w:r>
        <w:rPr>
          <w:rFonts w:ascii="Helvetica" w:eastAsia="Times New Roman" w:hAnsi="Helvetica" w:cs="Helvetica"/>
          <w:b/>
          <w:bCs/>
          <w:color w:val="000000"/>
          <w:sz w:val="24"/>
          <w:szCs w:val="24"/>
          <w:lang w:eastAsia="nl-NL"/>
        </w:rPr>
        <w:t xml:space="preserve">höher. </w:t>
      </w:r>
      <w:r>
        <w:rPr>
          <w:rFonts w:ascii="Helvetica" w:eastAsia="Times New Roman" w:hAnsi="Helvetica" w:cs="Helvetica"/>
          <w:color w:val="000000"/>
          <w:sz w:val="24"/>
          <w:szCs w:val="24"/>
          <w:lang w:eastAsia="nl-NL"/>
        </w:rPr>
        <w:t>Diese Anforderungen sind natürlich um ein Vielfaches höher und äußerst streng, wenn es sich um eine Massengentherapie handelt. Dies gilt umso mehr, als dies nicht nur den Mensche</w:t>
      </w:r>
      <w:r>
        <w:rPr>
          <w:rFonts w:ascii="Helvetica" w:eastAsia="Times New Roman" w:hAnsi="Helvetica" w:cs="Helvetica"/>
          <w:color w:val="000000"/>
          <w:sz w:val="24"/>
          <w:szCs w:val="24"/>
          <w:lang w:eastAsia="nl-NL"/>
        </w:rPr>
        <w:t xml:space="preserve">n schadet, sondern auch der Umwelt durch die Gefahr der </w:t>
      </w:r>
      <w:r>
        <w:rPr>
          <w:rFonts w:ascii="Helvetica" w:eastAsia="Times New Roman" w:hAnsi="Helvetica" w:cs="Helvetica"/>
          <w:i/>
          <w:iCs/>
          <w:color w:val="000000"/>
          <w:sz w:val="24"/>
          <w:szCs w:val="24"/>
          <w:lang w:eastAsia="nl-NL"/>
        </w:rPr>
        <w:t xml:space="preserve">unbeabsichtigten Übertragung </w:t>
      </w:r>
      <w:r>
        <w:rPr>
          <w:rFonts w:ascii="Helvetica" w:eastAsia="Times New Roman" w:hAnsi="Helvetica" w:cs="Helvetica"/>
          <w:color w:val="000000"/>
          <w:sz w:val="24"/>
          <w:szCs w:val="24"/>
          <w:lang w:eastAsia="nl-NL"/>
        </w:rPr>
        <w:t>von GVO (Gesundheitsinformation und -erziehung). Die COGEM (Ausschuss für genetische Modifikation) hat davor nachdrücklich gewarnt. Als Mitglied des Ausschusses sollten Si</w:t>
      </w:r>
      <w:r>
        <w:rPr>
          <w:rFonts w:ascii="Helvetica" w:eastAsia="Times New Roman" w:hAnsi="Helvetica" w:cs="Helvetica"/>
          <w:color w:val="000000"/>
          <w:sz w:val="24"/>
          <w:szCs w:val="24"/>
          <w:lang w:eastAsia="nl-NL"/>
        </w:rPr>
        <w:t>e sich dessen bewusst sein.</w:t>
      </w:r>
    </w:p>
    <w:p w14:paraId="015AE628"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Die von der EMA vorgenommenen Bewertungen der Wirksamkeit und der potenziell schädlichen Verwendung sind dann offensichtlich </w:t>
      </w:r>
      <w:r>
        <w:rPr>
          <w:rFonts w:ascii="Helvetica" w:eastAsia="Times New Roman" w:hAnsi="Helvetica" w:cs="Helvetica"/>
          <w:b/>
          <w:bCs/>
          <w:color w:val="000000"/>
          <w:sz w:val="24"/>
          <w:szCs w:val="24"/>
          <w:lang w:eastAsia="nl-NL"/>
        </w:rPr>
        <w:t xml:space="preserve">nicht </w:t>
      </w:r>
      <w:r>
        <w:rPr>
          <w:rFonts w:ascii="Helvetica" w:eastAsia="Times New Roman" w:hAnsi="Helvetica" w:cs="Helvetica"/>
          <w:color w:val="000000"/>
          <w:sz w:val="24"/>
          <w:szCs w:val="24"/>
          <w:lang w:eastAsia="nl-NL"/>
        </w:rPr>
        <w:t>ausreichend. Zum Schutz der niederländischen Volksgesundheit ist der Ausschuss verpflichtet, eine</w:t>
      </w:r>
      <w:r>
        <w:rPr>
          <w:rFonts w:ascii="Helvetica" w:eastAsia="Times New Roman" w:hAnsi="Helvetica" w:cs="Helvetica"/>
          <w:color w:val="000000"/>
          <w:sz w:val="24"/>
          <w:szCs w:val="24"/>
          <w:lang w:eastAsia="nl-NL"/>
        </w:rPr>
        <w:t xml:space="preserve"> weitere unabhängige Bewertung der Wirksamkeit und Sicherheit vorzunehmen. </w:t>
      </w:r>
      <w:hyperlink r:id="rId12" w:anchor="_ftn8" w:history="1">
        <w:bookmarkStart w:id="7" w:name="_ftnref8"/>
        <w:r>
          <w:rPr>
            <w:rFonts w:ascii="Helvetica" w:eastAsia="Times New Roman" w:hAnsi="Helvetica" w:cs="Helvetica"/>
            <w:color w:val="EC8823"/>
            <w:sz w:val="24"/>
            <w:szCs w:val="24"/>
            <w:vertAlign w:val="superscript"/>
            <w:lang w:eastAsia="nl-NL"/>
          </w:rPr>
          <w:t xml:space="preserve">[8] </w:t>
        </w:r>
      </w:hyperlink>
      <w:r>
        <w:rPr>
          <w:rFonts w:ascii="Helvetica" w:eastAsia="Times New Roman" w:hAnsi="Helvetica" w:cs="Helvetica"/>
          <w:color w:val="000000"/>
          <w:sz w:val="24"/>
          <w:szCs w:val="24"/>
          <w:lang w:eastAsia="nl-NL"/>
        </w:rPr>
        <w:t>Ein Verweis auf die bedingte Zulassung durch die EMA ist daher nicht ausreichend</w:t>
      </w:r>
      <w:r>
        <w:rPr>
          <w:rFonts w:ascii="Helvetica" w:eastAsia="Times New Roman" w:hAnsi="Helvetica" w:cs="Helvetica"/>
          <w:color w:val="000000"/>
          <w:sz w:val="24"/>
          <w:szCs w:val="24"/>
          <w:lang w:eastAsia="nl-NL"/>
        </w:rPr>
        <w:t>. Aber genau das haben Sie getan.</w:t>
      </w:r>
      <w:bookmarkEnd w:id="7"/>
    </w:p>
    <w:p w14:paraId="015AE629"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Sie sind dann davon ausgegangen, dass die Wirksamkeit aller Medikamente hoch ist. Sie würden einen Schutz von 62,6 % (AstraZaneca), 66 % (Janssen), 94 % (BioNTecht/Pfizer) und 94,15 % (Moderna) bieten.</w:t>
      </w:r>
    </w:p>
    <w:p w14:paraId="015AE62A"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Wie Sie wissen, ist </w:t>
      </w:r>
      <w:r>
        <w:rPr>
          <w:rFonts w:ascii="Helvetica" w:eastAsia="Times New Roman" w:hAnsi="Helvetica" w:cs="Helvetica"/>
          <w:color w:val="000000"/>
          <w:sz w:val="24"/>
          <w:szCs w:val="24"/>
          <w:lang w:eastAsia="nl-NL"/>
        </w:rPr>
        <w:t>die Wirksamkeit der verschiedenen Injektionen nicht untersucht worden. Die EMA und die Hersteller behaupten, dass diese Daten erst dann zur Verfügung stehen werden, wenn die Impfung der gesamten Bevölkerung weltweit abgeschlossen ist. Das bedeutet de facto</w:t>
      </w:r>
      <w:r>
        <w:rPr>
          <w:rFonts w:ascii="Helvetica" w:eastAsia="Times New Roman" w:hAnsi="Helvetica" w:cs="Helvetica"/>
          <w:color w:val="000000"/>
          <w:sz w:val="24"/>
          <w:szCs w:val="24"/>
          <w:lang w:eastAsia="nl-NL"/>
        </w:rPr>
        <w:t>, dass alle Menschen als Versuchskaninchen an einem Experiment teilnehmen, ohne darüber informiert zu werden.</w:t>
      </w:r>
    </w:p>
    <w:p w14:paraId="015AE62B"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Außerdem sollten Sie wissen, dass die klinischen Wirksamkeitsstudien der Hersteller mangelhaft, ungenau und unzureichend sind. Sie sollten auch wi</w:t>
      </w:r>
      <w:r>
        <w:rPr>
          <w:rFonts w:ascii="Helvetica" w:eastAsia="Times New Roman" w:hAnsi="Helvetica" w:cs="Helvetica"/>
          <w:color w:val="000000"/>
          <w:sz w:val="24"/>
          <w:szCs w:val="24"/>
          <w:lang w:eastAsia="nl-NL"/>
        </w:rPr>
        <w:t xml:space="preserve">ssen, dass die Hersteller in diesen klinischen Studien die Diagnose von Covid-19 auf der unwissenschaftlichen Verwendung eines PCR-Tests basierten. Dies sagt nichts über </w:t>
      </w:r>
      <w:r>
        <w:rPr>
          <w:rFonts w:ascii="Helvetica" w:eastAsia="Times New Roman" w:hAnsi="Helvetica" w:cs="Helvetica"/>
          <w:color w:val="000000"/>
          <w:sz w:val="24"/>
          <w:szCs w:val="24"/>
          <w:lang w:eastAsia="nl-NL"/>
        </w:rPr>
        <w:lastRenderedPageBreak/>
        <w:t>die tatsächliche Krankheit, die Krankheitslast oder den Verdacht auf eine Krankheit au</w:t>
      </w:r>
      <w:r>
        <w:rPr>
          <w:rFonts w:ascii="Helvetica" w:eastAsia="Times New Roman" w:hAnsi="Helvetica" w:cs="Helvetica"/>
          <w:color w:val="000000"/>
          <w:sz w:val="24"/>
          <w:szCs w:val="24"/>
          <w:lang w:eastAsia="nl-NL"/>
        </w:rPr>
        <w:t>s.</w:t>
      </w:r>
    </w:p>
    <w:p w14:paraId="015AE62C"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Ein weiteres Problem ist, dass die oben genannte Wirksamkeit als prozentuale Verringerung der Zahl der Krankheitsfälle ausgedrückt wird (RRR= </w:t>
      </w:r>
      <w:r>
        <w:rPr>
          <w:rFonts w:ascii="Helvetica" w:eastAsia="Times New Roman" w:hAnsi="Helvetica" w:cs="Helvetica"/>
          <w:i/>
          <w:iCs/>
          <w:color w:val="000000"/>
          <w:sz w:val="24"/>
          <w:szCs w:val="24"/>
          <w:lang w:eastAsia="nl-NL"/>
        </w:rPr>
        <w:t>Relative Risk Reduction</w:t>
      </w:r>
      <w:r>
        <w:rPr>
          <w:rFonts w:ascii="Helvetica" w:eastAsia="Times New Roman" w:hAnsi="Helvetica" w:cs="Helvetica"/>
          <w:color w:val="000000"/>
          <w:sz w:val="24"/>
          <w:szCs w:val="24"/>
          <w:lang w:eastAsia="nl-NL"/>
        </w:rPr>
        <w:t xml:space="preserve">). In absoluten Zahlen ausgedrückt, zeigt die Anzahl der Menschen, die behandelt werden </w:t>
      </w:r>
      <w:r>
        <w:rPr>
          <w:rFonts w:ascii="Helvetica" w:eastAsia="Times New Roman" w:hAnsi="Helvetica" w:cs="Helvetica"/>
          <w:color w:val="000000"/>
          <w:sz w:val="24"/>
          <w:szCs w:val="24"/>
          <w:lang w:eastAsia="nl-NL"/>
        </w:rPr>
        <w:t xml:space="preserve">müssen, um einen Krankheitsfall zu verhindern (NNT=Number </w:t>
      </w:r>
      <w:r>
        <w:rPr>
          <w:rFonts w:ascii="Helvetica" w:eastAsia="Times New Roman" w:hAnsi="Helvetica" w:cs="Helvetica"/>
          <w:i/>
          <w:iCs/>
          <w:color w:val="000000"/>
          <w:sz w:val="24"/>
          <w:szCs w:val="24"/>
          <w:lang w:eastAsia="nl-NL"/>
        </w:rPr>
        <w:t>Needed to Treat</w:t>
      </w:r>
      <w:r>
        <w:rPr>
          <w:rFonts w:ascii="Helvetica" w:eastAsia="Times New Roman" w:hAnsi="Helvetica" w:cs="Helvetica"/>
          <w:color w:val="000000"/>
          <w:sz w:val="24"/>
          <w:szCs w:val="24"/>
          <w:lang w:eastAsia="nl-NL"/>
        </w:rPr>
        <w:t xml:space="preserve">), dass es nur eine geringe oder gar keine messbare Wirksamkeit gibt. </w:t>
      </w:r>
      <w:hyperlink r:id="rId13" w:anchor="_ftn1" w:history="1">
        <w:r>
          <w:rPr>
            <w:rFonts w:ascii="Helvetica" w:eastAsia="Times New Roman" w:hAnsi="Helvetica" w:cs="Helvetica"/>
            <w:color w:val="EC8823"/>
            <w:sz w:val="24"/>
            <w:szCs w:val="24"/>
            <w:vertAlign w:val="superscript"/>
            <w:lang w:eastAsia="nl-NL"/>
          </w:rPr>
          <w:t>[9]</w:t>
        </w:r>
      </w:hyperlink>
    </w:p>
    <w:p w14:paraId="015AE62D"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Nach </w:t>
      </w:r>
      <w:r>
        <w:rPr>
          <w:rFonts w:ascii="Helvetica" w:eastAsia="Times New Roman" w:hAnsi="Helvetica" w:cs="Helvetica"/>
          <w:color w:val="000000"/>
          <w:sz w:val="24"/>
          <w:szCs w:val="24"/>
          <w:lang w:eastAsia="nl-NL"/>
        </w:rPr>
        <w:t>Angaben der Hersteller verringern diese Produkte die Wahrscheinlichkeit, keine Erkältung zu bekommen, um 1,3 % bei AstraZeneca, 1,2 % bei Moderna, 1,2 % bei Janssen und 0,84 % bei Pfizer-BioNTech Gentherapie-Injektionen. Auf der Grundlage dieser Informatio</w:t>
      </w:r>
      <w:r>
        <w:rPr>
          <w:rFonts w:ascii="Helvetica" w:eastAsia="Times New Roman" w:hAnsi="Helvetica" w:cs="Helvetica"/>
          <w:color w:val="000000"/>
          <w:sz w:val="24"/>
          <w:szCs w:val="24"/>
          <w:lang w:eastAsia="nl-NL"/>
        </w:rPr>
        <w:t>nen hätten Sie unbedingt eine negative Auskunft erteilen müssen.</w:t>
      </w:r>
    </w:p>
    <w:p w14:paraId="015AE62E"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Sie sollten auch bedenken, dass in den klinischen Studien nur die Linderung von Erkältungssymptomen untersucht wurde. Sie zeigen </w:t>
      </w:r>
      <w:r>
        <w:rPr>
          <w:rFonts w:ascii="Helvetica" w:eastAsia="Times New Roman" w:hAnsi="Helvetica" w:cs="Helvetica"/>
          <w:b/>
          <w:bCs/>
          <w:color w:val="000000"/>
          <w:sz w:val="24"/>
          <w:szCs w:val="24"/>
          <w:lang w:eastAsia="nl-NL"/>
        </w:rPr>
        <w:t xml:space="preserve">nicht, </w:t>
      </w:r>
      <w:r>
        <w:rPr>
          <w:rFonts w:ascii="Helvetica" w:eastAsia="Times New Roman" w:hAnsi="Helvetica" w:cs="Helvetica"/>
          <w:color w:val="000000"/>
          <w:sz w:val="24"/>
          <w:szCs w:val="24"/>
          <w:lang w:eastAsia="nl-NL"/>
        </w:rPr>
        <w:t>ob die Medikamente auch die Zahl der Krankenhauseinweis</w:t>
      </w:r>
      <w:r>
        <w:rPr>
          <w:rFonts w:ascii="Helvetica" w:eastAsia="Times New Roman" w:hAnsi="Helvetica" w:cs="Helvetica"/>
          <w:color w:val="000000"/>
          <w:sz w:val="24"/>
          <w:szCs w:val="24"/>
          <w:lang w:eastAsia="nl-NL"/>
        </w:rPr>
        <w:t xml:space="preserve">ungen und Todesfälle verringern. Dies wurde nicht untersucht, weil sie einfach zu selten sind, um statistisch signifikante Unterschiede aufzuzeigen: </w:t>
      </w:r>
      <w:bookmarkStart w:id="8" w:name="_ftnref10"/>
      <w:r>
        <w:rPr>
          <w:rFonts w:ascii="Helvetica" w:eastAsia="Times New Roman" w:hAnsi="Helvetica" w:cs="Helvetica"/>
          <w:color w:val="000000"/>
          <w:sz w:val="24"/>
          <w:szCs w:val="24"/>
          <w:vertAlign w:val="superscript"/>
          <w:lang w:eastAsia="nl-NL"/>
        </w:rPr>
        <w:t>[</w:t>
      </w:r>
      <w:hyperlink r:id="rId14" w:anchor="_ftn10" w:history="1">
        <w:r>
          <w:rPr>
            <w:rFonts w:ascii="Helvetica" w:eastAsia="Times New Roman" w:hAnsi="Helvetica" w:cs="Helvetica"/>
            <w:color w:val="EC8823"/>
            <w:sz w:val="24"/>
            <w:szCs w:val="24"/>
            <w:vertAlign w:val="superscript"/>
            <w:lang w:eastAsia="nl-NL"/>
          </w:rPr>
          <w:t xml:space="preserve">10] </w:t>
        </w:r>
      </w:hyperlink>
      <w:r>
        <w:rPr>
          <w:rFonts w:ascii="Helvetica" w:eastAsia="Times New Roman" w:hAnsi="Helvetica" w:cs="Helvetica"/>
          <w:color w:val="000000"/>
          <w:sz w:val="24"/>
          <w:szCs w:val="24"/>
          <w:lang w:eastAsia="nl-NL"/>
        </w:rPr>
        <w:t>Laut</w:t>
      </w:r>
      <w:r>
        <w:rPr>
          <w:rFonts w:ascii="Helvetica" w:eastAsia="Times New Roman" w:hAnsi="Helvetica" w:cs="Helvetica"/>
          <w:color w:val="000000"/>
          <w:sz w:val="24"/>
          <w:szCs w:val="24"/>
          <w:lang w:eastAsia="nl-NL"/>
        </w:rPr>
        <w:t xml:space="preserve"> Tal Zaks, dem medizinischen Direktor von Moderna, </w:t>
      </w:r>
      <w:bookmarkEnd w:id="8"/>
      <w:r>
        <w:rPr>
          <w:rFonts w:ascii="Helvetica" w:eastAsia="Times New Roman" w:hAnsi="Helvetica" w:cs="Helvetica"/>
          <w:color w:val="000000"/>
          <w:sz w:val="24"/>
          <w:szCs w:val="24"/>
          <w:lang w:eastAsia="nl-NL"/>
        </w:rPr>
        <w:t>ist die von COVID-19 ausgehende Krankheitslast zu gering, um klinisch untersucht zu werden. In Ihren Stellungnahmen gehen Sie fälschlicherweise davon aus, dass dies der Fall ist. In der Tat wird der Öffent</w:t>
      </w:r>
      <w:r>
        <w:rPr>
          <w:rFonts w:ascii="Helvetica" w:eastAsia="Times New Roman" w:hAnsi="Helvetica" w:cs="Helvetica"/>
          <w:color w:val="000000"/>
          <w:sz w:val="24"/>
          <w:szCs w:val="24"/>
          <w:lang w:eastAsia="nl-NL"/>
        </w:rPr>
        <w:t>lichkeit vorgegaukelt, dass diese Medikamente geeignet sind, die Pflege zu entlasten.</w:t>
      </w:r>
    </w:p>
    <w:p w14:paraId="015AE62F"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In der Praxis scheint die Wirksamkeit jedoch noch geringer zu sein. Eine am 10. April 2021 im Lancet veröffentlichte Studie zeigt, dass die ARR (</w:t>
      </w:r>
      <w:r>
        <w:rPr>
          <w:rFonts w:ascii="Helvetica" w:eastAsia="Times New Roman" w:hAnsi="Helvetica" w:cs="Helvetica"/>
          <w:i/>
          <w:iCs/>
          <w:color w:val="000000"/>
          <w:sz w:val="24"/>
          <w:szCs w:val="24"/>
          <w:lang w:eastAsia="nl-NL"/>
        </w:rPr>
        <w:t>absolute Risikoreduktion)</w:t>
      </w:r>
      <w:r>
        <w:rPr>
          <w:rFonts w:ascii="Helvetica" w:eastAsia="Times New Roman" w:hAnsi="Helvetica" w:cs="Helvetica"/>
          <w:i/>
          <w:iCs/>
          <w:color w:val="000000"/>
          <w:sz w:val="24"/>
          <w:szCs w:val="24"/>
          <w:lang w:eastAsia="nl-NL"/>
        </w:rPr>
        <w:t xml:space="preserve"> </w:t>
      </w:r>
      <w:r>
        <w:rPr>
          <w:rFonts w:ascii="Helvetica" w:eastAsia="Times New Roman" w:hAnsi="Helvetica" w:cs="Helvetica"/>
          <w:color w:val="000000"/>
          <w:sz w:val="24"/>
          <w:szCs w:val="24"/>
          <w:lang w:eastAsia="nl-NL"/>
        </w:rPr>
        <w:t>bei BioNTech/Pfizer) nicht höher als 0,46 % ist. Das bedeutet, dass 217 statt 119 Menschen gespritzt werden müssten, um einen Fall von Erkältung zu verhindern. Es scheint auch, dass gerade "geimpfte" Patienten in Krankenhäuser eingeliefert werden.</w:t>
      </w:r>
    </w:p>
    <w:p w14:paraId="015AE630"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Außerde</w:t>
      </w:r>
      <w:r>
        <w:rPr>
          <w:rFonts w:ascii="Helvetica" w:eastAsia="Times New Roman" w:hAnsi="Helvetica" w:cs="Helvetica"/>
          <w:color w:val="000000"/>
          <w:sz w:val="24"/>
          <w:szCs w:val="24"/>
          <w:lang w:eastAsia="nl-NL"/>
        </w:rPr>
        <w:t xml:space="preserve">m ist die therapeutische Indikation gemäß den bedingten Zulassungen auf die aktive Immunisierung gegen COVID-19 beschränkt. Sie wissen also, dass die Medikamente </w:t>
      </w:r>
      <w:r>
        <w:rPr>
          <w:rFonts w:ascii="Helvetica" w:eastAsia="Times New Roman" w:hAnsi="Helvetica" w:cs="Helvetica"/>
          <w:b/>
          <w:bCs/>
          <w:color w:val="000000"/>
          <w:sz w:val="24"/>
          <w:szCs w:val="24"/>
          <w:lang w:eastAsia="nl-NL"/>
        </w:rPr>
        <w:t xml:space="preserve">nicht </w:t>
      </w:r>
      <w:r>
        <w:rPr>
          <w:rFonts w:ascii="Helvetica" w:eastAsia="Times New Roman" w:hAnsi="Helvetica" w:cs="Helvetica"/>
          <w:color w:val="000000"/>
          <w:sz w:val="24"/>
          <w:szCs w:val="24"/>
          <w:lang w:eastAsia="nl-NL"/>
        </w:rPr>
        <w:t>dazu verwendet werden können, die Ausbreitung des Virus zu stoppen oder die Zahl der Inf</w:t>
      </w:r>
      <w:r>
        <w:rPr>
          <w:rFonts w:ascii="Helvetica" w:eastAsia="Times New Roman" w:hAnsi="Helvetica" w:cs="Helvetica"/>
          <w:color w:val="000000"/>
          <w:sz w:val="24"/>
          <w:szCs w:val="24"/>
          <w:lang w:eastAsia="nl-NL"/>
        </w:rPr>
        <w:t>ektionen zu verringern. Das scheint jedoch der Hauptzweck Ihres Rates zu sein. Dies steht im Widerspruch zur therapeutischen Indikation.</w:t>
      </w:r>
    </w:p>
    <w:p w14:paraId="015AE631"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Der medizinische Leiter von Moderna selbst bestätigte, dass in den aktuellen Studien </w:t>
      </w:r>
      <w:r>
        <w:rPr>
          <w:rFonts w:ascii="Helvetica" w:eastAsia="Times New Roman" w:hAnsi="Helvetica" w:cs="Helvetica"/>
          <w:b/>
          <w:bCs/>
          <w:color w:val="000000"/>
          <w:sz w:val="24"/>
          <w:szCs w:val="24"/>
          <w:lang w:eastAsia="nl-NL"/>
        </w:rPr>
        <w:t xml:space="preserve">nicht </w:t>
      </w:r>
      <w:r>
        <w:rPr>
          <w:rFonts w:ascii="Helvetica" w:eastAsia="Times New Roman" w:hAnsi="Helvetica" w:cs="Helvetica"/>
          <w:color w:val="000000"/>
          <w:sz w:val="24"/>
          <w:szCs w:val="24"/>
          <w:lang w:eastAsia="nl-NL"/>
        </w:rPr>
        <w:t>untersucht wird, ob die Inje</w:t>
      </w:r>
      <w:r>
        <w:rPr>
          <w:rFonts w:ascii="Helvetica" w:eastAsia="Times New Roman" w:hAnsi="Helvetica" w:cs="Helvetica"/>
          <w:color w:val="000000"/>
          <w:sz w:val="24"/>
          <w:szCs w:val="24"/>
          <w:lang w:eastAsia="nl-NL"/>
        </w:rPr>
        <w:t xml:space="preserve">ktion die Übertragung des Virus verringert: </w:t>
      </w:r>
      <w:hyperlink r:id="rId15" w:anchor="_ftn11" w:history="1">
        <w:r>
          <w:rPr>
            <w:rFonts w:ascii="Helvetica" w:eastAsia="Times New Roman" w:hAnsi="Helvetica" w:cs="Helvetica"/>
            <w:color w:val="EC8823"/>
            <w:sz w:val="24"/>
            <w:szCs w:val="24"/>
            <w:vertAlign w:val="superscript"/>
            <w:lang w:eastAsia="nl-NL"/>
          </w:rPr>
          <w:t>[1</w:t>
        </w:r>
      </w:hyperlink>
      <w:hyperlink r:id="rId16" w:anchor="_ftn11" w:history="1">
        <w:r>
          <w:rPr>
            <w:rFonts w:ascii="Helvetica" w:eastAsia="Times New Roman" w:hAnsi="Helvetica" w:cs="Helvetica"/>
            <w:color w:val="EC8823"/>
            <w:sz w:val="24"/>
            <w:szCs w:val="24"/>
            <w:vertAlign w:val="superscript"/>
            <w:lang w:eastAsia="nl-NL"/>
          </w:rPr>
          <w:t>1]</w:t>
        </w:r>
      </w:hyperlink>
      <w:bookmarkStart w:id="9" w:name="_ftnref11"/>
      <w:r>
        <w:rPr>
          <w:rFonts w:ascii="Helvetica" w:eastAsia="Times New Roman" w:hAnsi="Helvetica" w:cs="Helvetica"/>
          <w:color w:val="EC8823"/>
          <w:sz w:val="24"/>
          <w:szCs w:val="24"/>
          <w:vertAlign w:val="superscript"/>
          <w:lang w:eastAsia="nl-NL"/>
        </w:rPr>
        <w:t xml:space="preserve"> </w:t>
      </w:r>
      <w:bookmarkEnd w:id="9"/>
      <w:r>
        <w:rPr>
          <w:rFonts w:ascii="Helvetica" w:eastAsia="Times New Roman" w:hAnsi="Helvetica" w:cs="Helvetica"/>
          <w:color w:val="000000"/>
          <w:sz w:val="24"/>
          <w:szCs w:val="24"/>
          <w:lang w:eastAsia="nl-NL"/>
        </w:rPr>
        <w:t>Außerdem sc</w:t>
      </w:r>
      <w:r>
        <w:rPr>
          <w:rFonts w:ascii="Helvetica" w:eastAsia="Times New Roman" w:hAnsi="Helvetica" w:cs="Helvetica"/>
          <w:color w:val="000000"/>
          <w:sz w:val="24"/>
          <w:szCs w:val="24"/>
          <w:lang w:eastAsia="nl-NL"/>
        </w:rPr>
        <w:t>heint die Viruslast bei "geimpften" Personen viel höher zu sein. Es ist nicht auszuschließen, dass die Medikamente nicht nur keinen Schutz bieten, sondern sogar das Krankheitsrisiko erhöhen.</w:t>
      </w:r>
    </w:p>
    <w:p w14:paraId="015AE632"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Sie versäumen es, die Bürger, Ärzte, das Parlament und die Regier</w:t>
      </w:r>
      <w:r>
        <w:rPr>
          <w:rFonts w:ascii="Helvetica" w:eastAsia="Times New Roman" w:hAnsi="Helvetica" w:cs="Helvetica"/>
          <w:color w:val="000000"/>
          <w:sz w:val="24"/>
          <w:szCs w:val="24"/>
          <w:lang w:eastAsia="nl-NL"/>
        </w:rPr>
        <w:t>ung aktiv über diese wissenschaftlich nachgewiesenen möglichen Risiken zu informieren. Dies ist ein Verstoß gegen die Artikel 2 und 8 EMRK und 22 der Verfassung.</w:t>
      </w:r>
    </w:p>
    <w:p w14:paraId="015AE633"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Die einzige Aussage zur Vorbeugung nach der Injektion ist, dass in Ausnahmefällen der Schwereg</w:t>
      </w:r>
      <w:r>
        <w:rPr>
          <w:rFonts w:ascii="Helvetica" w:eastAsia="Times New Roman" w:hAnsi="Helvetica" w:cs="Helvetica"/>
          <w:b/>
          <w:bCs/>
          <w:color w:val="000000"/>
          <w:sz w:val="24"/>
          <w:szCs w:val="24"/>
          <w:lang w:eastAsia="nl-NL"/>
        </w:rPr>
        <w:t>rad der Krankheit verringert wird. Entsprechend der therapeutischen Indikation sollten die Arzneimittel nur zur aktiven Immunisierung verwendet werden. Die Medikamente verringern weder die Ausbreitung des Virus noch die Zahl der Infektionen. Es ist nicht e</w:t>
      </w:r>
      <w:r>
        <w:rPr>
          <w:rFonts w:ascii="Helvetica" w:eastAsia="Times New Roman" w:hAnsi="Helvetica" w:cs="Helvetica"/>
          <w:b/>
          <w:bCs/>
          <w:color w:val="000000"/>
          <w:sz w:val="24"/>
          <w:szCs w:val="24"/>
          <w:lang w:eastAsia="nl-NL"/>
        </w:rPr>
        <w:t xml:space="preserve">rwiesen, dass sie die Zahl der Krankenhauseinweisungen oder Todesfälle verringern. Die Medikamente haben keine nachweisbare Wirksamkeit. Auch dieses Kriterium wurde nicht erfüllt. Auch der Zweck der Beratung steht im </w:t>
      </w:r>
      <w:r>
        <w:rPr>
          <w:rFonts w:ascii="Helvetica" w:eastAsia="Times New Roman" w:hAnsi="Helvetica" w:cs="Helvetica"/>
          <w:b/>
          <w:bCs/>
          <w:color w:val="000000"/>
          <w:sz w:val="24"/>
          <w:szCs w:val="24"/>
          <w:lang w:eastAsia="nl-NL"/>
        </w:rPr>
        <w:lastRenderedPageBreak/>
        <w:t>Widerspruch zur therapeutischen Indikat</w:t>
      </w:r>
      <w:r>
        <w:rPr>
          <w:rFonts w:ascii="Helvetica" w:eastAsia="Times New Roman" w:hAnsi="Helvetica" w:cs="Helvetica"/>
          <w:b/>
          <w:bCs/>
          <w:color w:val="000000"/>
          <w:sz w:val="24"/>
          <w:szCs w:val="24"/>
          <w:lang w:eastAsia="nl-NL"/>
        </w:rPr>
        <w:t>ion. Schließlich dürfen sie nicht dazu verwendet werden, die Verbreitung zu verhindern oder die Zahl der Infektionen zu verringern.</w:t>
      </w:r>
    </w:p>
    <w:p w14:paraId="015AE634"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 Sicherheit</w:t>
      </w:r>
    </w:p>
    <w:p w14:paraId="015AE635"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Sie haben die Meinung der EMA übernommen, dass die vier injizierbaren Arzneimittel </w:t>
      </w:r>
      <w:r>
        <w:rPr>
          <w:rFonts w:ascii="Helvetica" w:eastAsia="Times New Roman" w:hAnsi="Helvetica" w:cs="Helvetica"/>
          <w:i/>
          <w:iCs/>
          <w:color w:val="000000"/>
          <w:sz w:val="24"/>
          <w:szCs w:val="24"/>
          <w:lang w:eastAsia="nl-NL"/>
        </w:rPr>
        <w:t>ausreichend sicher sind</w:t>
      </w:r>
      <w:r>
        <w:rPr>
          <w:rFonts w:ascii="Helvetica" w:eastAsia="Times New Roman" w:hAnsi="Helvetica" w:cs="Helvetica"/>
          <w:color w:val="000000"/>
          <w:sz w:val="24"/>
          <w:szCs w:val="24"/>
          <w:lang w:eastAsia="nl-NL"/>
        </w:rPr>
        <w:t>, ohne eigene Untersuchungen durchzuführen. Dies verstößt gegen Ihre Pflicht, eine effektive Unabhängigkeit zu gewährleisten. Sie wissen auch, dass di</w:t>
      </w:r>
      <w:r>
        <w:rPr>
          <w:rFonts w:ascii="Helvetica" w:eastAsia="Times New Roman" w:hAnsi="Helvetica" w:cs="Helvetica"/>
          <w:color w:val="000000"/>
          <w:sz w:val="24"/>
          <w:szCs w:val="24"/>
          <w:lang w:eastAsia="nl-NL"/>
        </w:rPr>
        <w:t>e Direktorin dieser Europäischen Arzneimittel-Agentur, Emer Cook, viele Jahre lang für den Pharma-Lobby-Club European Federation of Pharmaceutical Industries and Associations (EFPIA) gearbeitet hat. Dies ist natürlich nicht gerade vertrauenserweckend für d</w:t>
      </w:r>
      <w:r>
        <w:rPr>
          <w:rFonts w:ascii="Helvetica" w:eastAsia="Times New Roman" w:hAnsi="Helvetica" w:cs="Helvetica"/>
          <w:color w:val="000000"/>
          <w:sz w:val="24"/>
          <w:szCs w:val="24"/>
          <w:lang w:eastAsia="nl-NL"/>
        </w:rPr>
        <w:t>ie Unabhängigkeit dieser Institution. Dies erfordert besondere Wachsamkeit Ihrerseits. Aus den folgenden Ausführungen wird deutlich, dass weder die EMA noch Sie die Medikamente als "sicher genug" bewerten durften.</w:t>
      </w:r>
    </w:p>
    <w:p w14:paraId="015AE636"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Erstens wissen Sie, dass es sich bei diese</w:t>
      </w:r>
      <w:r>
        <w:rPr>
          <w:rFonts w:ascii="Helvetica" w:eastAsia="Times New Roman" w:hAnsi="Helvetica" w:cs="Helvetica"/>
          <w:color w:val="000000"/>
          <w:sz w:val="24"/>
          <w:szCs w:val="24"/>
          <w:lang w:eastAsia="nl-NL"/>
        </w:rPr>
        <w:t xml:space="preserve">n injizierbaren Arzneimitteln um experimentelle Arzneimittel handelt, die auf der Grundlage minimaler Forschungsdaten zur Sicherheit und Wirksamkeit eine bedingte Notfallzulassung mit einer </w:t>
      </w:r>
      <w:r>
        <w:rPr>
          <w:rFonts w:ascii="Helvetica" w:eastAsia="Times New Roman" w:hAnsi="Helvetica" w:cs="Helvetica"/>
          <w:i/>
          <w:iCs/>
          <w:color w:val="000000"/>
          <w:sz w:val="24"/>
          <w:szCs w:val="24"/>
          <w:lang w:eastAsia="nl-NL"/>
        </w:rPr>
        <w:t xml:space="preserve">Schnellzulassung </w:t>
      </w:r>
      <w:r>
        <w:rPr>
          <w:rFonts w:ascii="Helvetica" w:eastAsia="Times New Roman" w:hAnsi="Helvetica" w:cs="Helvetica"/>
          <w:color w:val="000000"/>
          <w:sz w:val="24"/>
          <w:szCs w:val="24"/>
          <w:lang w:eastAsia="nl-NL"/>
        </w:rPr>
        <w:t>erhalten haben. Zahlreiche präklinische und klini</w:t>
      </w:r>
      <w:r>
        <w:rPr>
          <w:rFonts w:ascii="Helvetica" w:eastAsia="Times New Roman" w:hAnsi="Helvetica" w:cs="Helvetica"/>
          <w:color w:val="000000"/>
          <w:sz w:val="24"/>
          <w:szCs w:val="24"/>
          <w:lang w:eastAsia="nl-NL"/>
        </w:rPr>
        <w:t>sche Studien wurden nicht abgeschlossen oder übersprungen. Dies geschah durch die Zusammenlegung der Forschungsphasen I, II und III. Sie versäumen es, die Bevölkerung, die Ärzte, das Parlament und die Regierung aktiv darüber zu informieren. Ihre Empfehlung</w:t>
      </w:r>
      <w:r>
        <w:rPr>
          <w:rFonts w:ascii="Helvetica" w:eastAsia="Times New Roman" w:hAnsi="Helvetica" w:cs="Helvetica"/>
          <w:color w:val="000000"/>
          <w:sz w:val="24"/>
          <w:szCs w:val="24"/>
          <w:lang w:eastAsia="nl-NL"/>
        </w:rPr>
        <w:t xml:space="preserve">en verharmlosen oder verschweigen die damit verbundenen Risiken auf Kosten der Verpflichtung zur </w:t>
      </w:r>
      <w:r>
        <w:rPr>
          <w:rFonts w:ascii="Helvetica" w:eastAsia="Times New Roman" w:hAnsi="Helvetica" w:cs="Helvetica"/>
          <w:i/>
          <w:iCs/>
          <w:color w:val="000000"/>
          <w:sz w:val="24"/>
          <w:szCs w:val="24"/>
          <w:lang w:eastAsia="nl-NL"/>
        </w:rPr>
        <w:t xml:space="preserve">informierten </w:t>
      </w:r>
      <w:r>
        <w:rPr>
          <w:rFonts w:ascii="Helvetica" w:eastAsia="Times New Roman" w:hAnsi="Helvetica" w:cs="Helvetica"/>
          <w:color w:val="000000"/>
          <w:sz w:val="24"/>
          <w:szCs w:val="24"/>
          <w:lang w:eastAsia="nl-NL"/>
        </w:rPr>
        <w:t>Zustimmung.</w:t>
      </w:r>
    </w:p>
    <w:p w14:paraId="015AE637"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Auch die Voraussetzungen für eine Zulassung im </w:t>
      </w:r>
      <w:r>
        <w:rPr>
          <w:rFonts w:ascii="Helvetica" w:eastAsia="Times New Roman" w:hAnsi="Helvetica" w:cs="Helvetica"/>
          <w:i/>
          <w:iCs/>
          <w:color w:val="000000"/>
          <w:sz w:val="24"/>
          <w:szCs w:val="24"/>
          <w:lang w:eastAsia="nl-NL"/>
        </w:rPr>
        <w:t xml:space="preserve">Schnellverfahren </w:t>
      </w:r>
      <w:r>
        <w:rPr>
          <w:rFonts w:ascii="Helvetica" w:eastAsia="Times New Roman" w:hAnsi="Helvetica" w:cs="Helvetica"/>
          <w:color w:val="000000"/>
          <w:sz w:val="24"/>
          <w:szCs w:val="24"/>
          <w:lang w:eastAsia="nl-NL"/>
        </w:rPr>
        <w:t xml:space="preserve">waren nicht erfüllt. Es gab und gibt keinen medizinischen Notfall. Es </w:t>
      </w:r>
      <w:r>
        <w:rPr>
          <w:rFonts w:ascii="Helvetica" w:eastAsia="Times New Roman" w:hAnsi="Helvetica" w:cs="Helvetica"/>
          <w:color w:val="000000"/>
          <w:sz w:val="24"/>
          <w:szCs w:val="24"/>
          <w:lang w:eastAsia="nl-NL"/>
        </w:rPr>
        <w:t>gibt auch nachweislich wirksame Therapien wie Ivermectin. In Ländern, in denen dieses Medikament Teil des Standardbehandlungsprotokolls ist, gehen die Krankenhauseinweisungen drastisch zurück. Seltsamerweise ist es Ärzten in diesen Ländern strengstens unte</w:t>
      </w:r>
      <w:r>
        <w:rPr>
          <w:rFonts w:ascii="Helvetica" w:eastAsia="Times New Roman" w:hAnsi="Helvetica" w:cs="Helvetica"/>
          <w:color w:val="000000"/>
          <w:sz w:val="24"/>
          <w:szCs w:val="24"/>
          <w:lang w:eastAsia="nl-NL"/>
        </w:rPr>
        <w:t>rsagt, diese Medikamente zu verschreiben. Auffallend ist auch, dass die Mitglieder des Ausschusses Kullberg, Schultz und Prins die Stiftung Antibiotic Policy Group nutzen, um den Einsatz von Ivermectin aktiv zu bekämpfen. Die Anerkennung von Ivermectin als</w:t>
      </w:r>
      <w:r>
        <w:rPr>
          <w:rFonts w:ascii="Helvetica" w:eastAsia="Times New Roman" w:hAnsi="Helvetica" w:cs="Helvetica"/>
          <w:color w:val="000000"/>
          <w:sz w:val="24"/>
          <w:szCs w:val="24"/>
          <w:lang w:eastAsia="nl-NL"/>
        </w:rPr>
        <w:t xml:space="preserve"> wirksame Therapie gegen COVID19 führt zum obligatorischen Entzug der bedingten Zulassung. Sie haben es versäumt, dies in Ihren Empfehlungen hervorzuheben. Das macht sie einseitig, unvollständig und unwissenschaftlich.</w:t>
      </w:r>
    </w:p>
    <w:p w14:paraId="015AE638"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Darüber hinaus legitimieren Sie mit I</w:t>
      </w:r>
      <w:r>
        <w:rPr>
          <w:rFonts w:ascii="Helvetica" w:eastAsia="Times New Roman" w:hAnsi="Helvetica" w:cs="Helvetica"/>
          <w:color w:val="000000"/>
          <w:sz w:val="24"/>
          <w:szCs w:val="24"/>
          <w:lang w:eastAsia="nl-NL"/>
        </w:rPr>
        <w:t>hrer Stellungnahme eine Politik, die Millionen von Menschen den kurz-, mittel- und langfristigen Gefahren experimenteller Gentherapien aussetzt, ohne sie zu benötigen und ohne sie umfassend zu informieren. Sie sind auch mitschuldig an den rechtswidrigen Ha</w:t>
      </w:r>
      <w:r>
        <w:rPr>
          <w:rFonts w:ascii="Helvetica" w:eastAsia="Times New Roman" w:hAnsi="Helvetica" w:cs="Helvetica"/>
          <w:color w:val="000000"/>
          <w:sz w:val="24"/>
          <w:szCs w:val="24"/>
          <w:lang w:eastAsia="nl-NL"/>
        </w:rPr>
        <w:t xml:space="preserve">ndlungen der EMA. Sie hätte diese </w:t>
      </w:r>
      <w:r>
        <w:rPr>
          <w:rFonts w:ascii="Helvetica" w:eastAsia="Times New Roman" w:hAnsi="Helvetica" w:cs="Helvetica"/>
          <w:i/>
          <w:iCs/>
          <w:color w:val="000000"/>
          <w:sz w:val="24"/>
          <w:szCs w:val="24"/>
          <w:lang w:eastAsia="nl-NL"/>
        </w:rPr>
        <w:t xml:space="preserve">Notfallgenehmigungen </w:t>
      </w:r>
      <w:r>
        <w:rPr>
          <w:rFonts w:ascii="Helvetica" w:eastAsia="Times New Roman" w:hAnsi="Helvetica" w:cs="Helvetica"/>
          <w:color w:val="000000"/>
          <w:sz w:val="24"/>
          <w:szCs w:val="24"/>
          <w:lang w:eastAsia="nl-NL"/>
        </w:rPr>
        <w:t xml:space="preserve">nicht erteilen dürfen, wenn kein </w:t>
      </w:r>
      <w:r>
        <w:rPr>
          <w:rFonts w:ascii="Helvetica" w:eastAsia="Times New Roman" w:hAnsi="Helvetica" w:cs="Helvetica"/>
          <w:i/>
          <w:iCs/>
          <w:color w:val="000000"/>
          <w:sz w:val="24"/>
          <w:szCs w:val="24"/>
          <w:lang w:eastAsia="nl-NL"/>
        </w:rPr>
        <w:t>ungedeckter medizinischer Bedarf besteht</w:t>
      </w:r>
      <w:r>
        <w:rPr>
          <w:rFonts w:ascii="Helvetica" w:eastAsia="Times New Roman" w:hAnsi="Helvetica" w:cs="Helvetica"/>
          <w:color w:val="000000"/>
          <w:sz w:val="24"/>
          <w:szCs w:val="24"/>
          <w:lang w:eastAsia="nl-NL"/>
        </w:rPr>
        <w:t>.</w:t>
      </w:r>
    </w:p>
    <w:p w14:paraId="015AE639"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Die Industrie selbst schätzt, dass diese Medikamente nicht vor 2036 auf den Markt kommen werden, wenn sie den normalen Forschu</w:t>
      </w:r>
      <w:r>
        <w:rPr>
          <w:rFonts w:ascii="Helvetica" w:eastAsia="Times New Roman" w:hAnsi="Helvetica" w:cs="Helvetica"/>
          <w:color w:val="000000"/>
          <w:sz w:val="24"/>
          <w:szCs w:val="24"/>
          <w:lang w:eastAsia="nl-NL"/>
        </w:rPr>
        <w:t xml:space="preserve">ngsweg gehen. </w:t>
      </w:r>
      <w:hyperlink r:id="rId17" w:anchor="_ftn12" w:history="1">
        <w:bookmarkStart w:id="10" w:name="_ftnref12"/>
        <w:r>
          <w:rPr>
            <w:rFonts w:ascii="Helvetica" w:eastAsia="Times New Roman" w:hAnsi="Helvetica" w:cs="Helvetica"/>
            <w:color w:val="EC8823"/>
            <w:sz w:val="24"/>
            <w:szCs w:val="24"/>
            <w:vertAlign w:val="superscript"/>
            <w:lang w:eastAsia="nl-NL"/>
          </w:rPr>
          <w:t xml:space="preserve">[12] </w:t>
        </w:r>
      </w:hyperlink>
      <w:bookmarkEnd w:id="10"/>
      <w:r>
        <w:rPr>
          <w:rFonts w:ascii="Helvetica" w:eastAsia="Times New Roman" w:hAnsi="Helvetica" w:cs="Helvetica"/>
          <w:color w:val="000000"/>
          <w:sz w:val="24"/>
          <w:szCs w:val="24"/>
          <w:lang w:eastAsia="nl-NL"/>
        </w:rPr>
        <w:t>Das bedeutet, dass die präklinische Forschungsphase übersprungen wurde und die Phasen 1 bis 3 noch andauern. Der Forschungszeitraum wurde s</w:t>
      </w:r>
      <w:r>
        <w:rPr>
          <w:rFonts w:ascii="Helvetica" w:eastAsia="Times New Roman" w:hAnsi="Helvetica" w:cs="Helvetica"/>
          <w:color w:val="000000"/>
          <w:sz w:val="24"/>
          <w:szCs w:val="24"/>
          <w:lang w:eastAsia="nl-NL"/>
        </w:rPr>
        <w:t>omit um 15 Jahre verkürzt. Infolgedessen sind viele potenzielle Risiken nicht untersucht worden. Sie sind sich dessen bewusst. Millionen Niederländern, die sich auf Ihren Rat verlassen, diese Art von Gesundheitsrisiken zu verschweigen, ist offensichtlich f</w:t>
      </w:r>
      <w:r>
        <w:rPr>
          <w:rFonts w:ascii="Helvetica" w:eastAsia="Times New Roman" w:hAnsi="Helvetica" w:cs="Helvetica"/>
          <w:color w:val="000000"/>
          <w:sz w:val="24"/>
          <w:szCs w:val="24"/>
          <w:lang w:eastAsia="nl-NL"/>
        </w:rPr>
        <w:t>ahrlässig und rechtswidrig.</w:t>
      </w:r>
    </w:p>
    <w:p w14:paraId="015AE63A"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lastRenderedPageBreak/>
        <w:t xml:space="preserve">Die Produkte enthalten auch Inhaltsstoffe, die bisher noch nicht verwendet wurden. Einige von ihnen sind sogar unbekannt, wie aus den </w:t>
      </w:r>
      <w:r>
        <w:rPr>
          <w:rFonts w:ascii="Helvetica" w:eastAsia="Times New Roman" w:hAnsi="Helvetica" w:cs="Helvetica"/>
          <w:i/>
          <w:iCs/>
          <w:color w:val="000000"/>
          <w:sz w:val="24"/>
          <w:szCs w:val="24"/>
          <w:lang w:eastAsia="nl-NL"/>
        </w:rPr>
        <w:t xml:space="preserve">Schutzklauseln </w:t>
      </w:r>
      <w:r>
        <w:rPr>
          <w:rFonts w:ascii="Helvetica" w:eastAsia="Times New Roman" w:hAnsi="Helvetica" w:cs="Helvetica"/>
          <w:color w:val="000000"/>
          <w:sz w:val="24"/>
          <w:szCs w:val="24"/>
          <w:lang w:eastAsia="nl-NL"/>
        </w:rPr>
        <w:t>in den Verträgen mit diesen Herstellern hervorgeht. De facto können also auch s</w:t>
      </w:r>
      <w:r>
        <w:rPr>
          <w:rFonts w:ascii="Helvetica" w:eastAsia="Times New Roman" w:hAnsi="Helvetica" w:cs="Helvetica"/>
          <w:color w:val="000000"/>
          <w:sz w:val="24"/>
          <w:szCs w:val="24"/>
          <w:lang w:eastAsia="nl-NL"/>
        </w:rPr>
        <w:t>ie nicht auf Gesundheitsrisiken getestet werden.</w:t>
      </w:r>
    </w:p>
    <w:p w14:paraId="015AE63B"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Die Medikamente sind per Definition experimentell, da noch nie eine Gentherapie zur Immunisierung des Menschen eingesetzt wurde. BioNTech hat in seinem Finanzbericht für das dritte Quartal 2020 noch berichte</w:t>
      </w:r>
      <w:r>
        <w:rPr>
          <w:rFonts w:ascii="Helvetica" w:eastAsia="Times New Roman" w:hAnsi="Helvetica" w:cs="Helvetica"/>
          <w:color w:val="000000"/>
          <w:sz w:val="24"/>
          <w:szCs w:val="24"/>
          <w:lang w:eastAsia="nl-NL"/>
        </w:rPr>
        <w:t>t, dass große Unsicherheiten hinsichtlich der Lizenzierung bestehen, da ein Corona-Impfstoff noch nie erfolgreich entwickelt wurde, das Produkt die Forschungsphasen nicht durchlaufen hat, ein Impfstoff auf der Basis von mRNA noch nie entwickelt wurde und d</w:t>
      </w:r>
      <w:r>
        <w:rPr>
          <w:rFonts w:ascii="Helvetica" w:eastAsia="Times New Roman" w:hAnsi="Helvetica" w:cs="Helvetica"/>
          <w:color w:val="000000"/>
          <w:sz w:val="24"/>
          <w:szCs w:val="24"/>
          <w:lang w:eastAsia="nl-NL"/>
        </w:rPr>
        <w:t xml:space="preserve">ies als Gentherapie eingestuft wird. </w:t>
      </w:r>
      <w:hyperlink r:id="rId18" w:anchor="_ftn13" w:history="1">
        <w:bookmarkStart w:id="11" w:name="_ftnref13"/>
        <w:r>
          <w:rPr>
            <w:rFonts w:ascii="Helvetica" w:eastAsia="Times New Roman" w:hAnsi="Helvetica" w:cs="Helvetica"/>
            <w:color w:val="EC8823"/>
            <w:sz w:val="24"/>
            <w:szCs w:val="24"/>
            <w:vertAlign w:val="superscript"/>
            <w:lang w:eastAsia="nl-NL"/>
          </w:rPr>
          <w:t xml:space="preserve">[13] </w:t>
        </w:r>
      </w:hyperlink>
      <w:bookmarkEnd w:id="11"/>
      <w:r>
        <w:rPr>
          <w:rFonts w:ascii="Helvetica" w:eastAsia="Times New Roman" w:hAnsi="Helvetica" w:cs="Helvetica"/>
          <w:color w:val="000000"/>
          <w:sz w:val="24"/>
          <w:szCs w:val="24"/>
          <w:lang w:eastAsia="nl-NL"/>
        </w:rPr>
        <w:t>Auch das sollten Sie wissen.</w:t>
      </w:r>
    </w:p>
    <w:p w14:paraId="015AE63C"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Kürzlich wurde eine Reihe von Kaufverträgen bekannt, die zwischen </w:t>
      </w:r>
      <w:r>
        <w:rPr>
          <w:rFonts w:ascii="Helvetica" w:eastAsia="Times New Roman" w:hAnsi="Helvetica" w:cs="Helvetica"/>
          <w:color w:val="000000"/>
          <w:sz w:val="24"/>
          <w:szCs w:val="24"/>
          <w:lang w:eastAsia="nl-NL"/>
        </w:rPr>
        <w:t>BioNTech/Pfizer, AstraZeneca und mehreren Ländern geschlossen wurden. Die Parteien verpflichteten sich, den Inhalt streng vertraulich zu behandeln. Das ist verständlich. Pfizer betont, dass das Unternehmen keinerlei Haftung für seine Produkte übernimmt. Di</w:t>
      </w:r>
      <w:r>
        <w:rPr>
          <w:rFonts w:ascii="Helvetica" w:eastAsia="Times New Roman" w:hAnsi="Helvetica" w:cs="Helvetica"/>
          <w:color w:val="000000"/>
          <w:sz w:val="24"/>
          <w:szCs w:val="24"/>
          <w:lang w:eastAsia="nl-NL"/>
        </w:rPr>
        <w:t xml:space="preserve">e Verwaltung dieser Produkte liegt vollständig in der Verantwortung der teilnehmenden Staaten. Pfizer und alle mit ihm verbundenen Unternehmen werden von den Käufern sogar vollständig für alle möglichen Produkthaftungen entschädigt. Dies ist an sich schon </w:t>
      </w:r>
      <w:r>
        <w:rPr>
          <w:rFonts w:ascii="Helvetica" w:eastAsia="Times New Roman" w:hAnsi="Helvetica" w:cs="Helvetica"/>
          <w:color w:val="000000"/>
          <w:sz w:val="24"/>
          <w:szCs w:val="24"/>
          <w:lang w:eastAsia="nl-NL"/>
        </w:rPr>
        <w:t>unethisch, unmoralisch und rechtlich inakzeptabel.</w:t>
      </w:r>
    </w:p>
    <w:p w14:paraId="015AE63D"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In einer Situation, in der der Hersteller sich weigert, die Sicherheit des Produkts zu garantieren oder die Haftung dafür zu übernehmen, was im Widerspruch zu den europäischen Rechtsvorschriften über die H</w:t>
      </w:r>
      <w:r>
        <w:rPr>
          <w:rFonts w:ascii="Helvetica" w:eastAsia="Times New Roman" w:hAnsi="Helvetica" w:cs="Helvetica"/>
          <w:color w:val="000000"/>
          <w:sz w:val="24"/>
          <w:szCs w:val="24"/>
          <w:lang w:eastAsia="nl-NL"/>
        </w:rPr>
        <w:t>aftung für fehlerhafte Produkte steht, ist es undenkbar, uninformierte Bürger diesen Risiken auszusetzen und sie sogar diesen Produkten aufzuerlegen. Auch dies ist illegal, unethisch und unmoralisch.</w:t>
      </w:r>
    </w:p>
    <w:p w14:paraId="015AE63E"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Daraus ergibt sich, dass Sie den positiven Verpflichtung</w:t>
      </w:r>
      <w:r>
        <w:rPr>
          <w:rFonts w:ascii="Helvetica" w:eastAsia="Times New Roman" w:hAnsi="Helvetica" w:cs="Helvetica"/>
          <w:color w:val="000000"/>
          <w:sz w:val="24"/>
          <w:szCs w:val="24"/>
          <w:lang w:eastAsia="nl-NL"/>
        </w:rPr>
        <w:t xml:space="preserve">en im Bereich der öffentlichen Gesundheit nicht ordnungsgemäß nachkommen. Unter dem Deckmantel der Wahlfreiheit überlässt man dem unwissenden Bürger die ganze Verantwortung und das Risiko selbst. </w:t>
      </w:r>
      <w:r w:rsidRPr="00E91CB4">
        <w:rPr>
          <w:rFonts w:ascii="Helvetica" w:eastAsia="Times New Roman" w:hAnsi="Helvetica" w:cs="Helvetica"/>
          <w:color w:val="000000"/>
          <w:sz w:val="24"/>
          <w:szCs w:val="24"/>
          <w:lang w:val="en-GB" w:eastAsia="nl-NL"/>
        </w:rPr>
        <w:t>(Prof. A.C. Hendriks et al., Health Care and European Law, 2</w:t>
      </w:r>
      <w:r w:rsidRPr="00E91CB4">
        <w:rPr>
          <w:rFonts w:ascii="Helvetica" w:eastAsia="Times New Roman" w:hAnsi="Helvetica" w:cs="Helvetica"/>
          <w:color w:val="000000"/>
          <w:sz w:val="24"/>
          <w:szCs w:val="24"/>
          <w:lang w:val="en-GB" w:eastAsia="nl-NL"/>
        </w:rPr>
        <w:t xml:space="preserve">009 Preadvice). </w:t>
      </w:r>
      <w:r>
        <w:rPr>
          <w:rFonts w:ascii="Helvetica" w:eastAsia="Times New Roman" w:hAnsi="Helvetica" w:cs="Helvetica"/>
          <w:color w:val="000000"/>
          <w:sz w:val="24"/>
          <w:szCs w:val="24"/>
          <w:lang w:eastAsia="nl-NL"/>
        </w:rPr>
        <w:t>Wenn dies unter Zwang geschieht, stellt dies einen Verstoß gegen Artikel 7 BUPO, Artikel 3 EMRK und andere damit zusammenhängende Menschenrechtsverträge und medizinisch-ethische Kodizes dar. Diese verbieten es ausdrücklich.</w:t>
      </w:r>
    </w:p>
    <w:p w14:paraId="015AE63F"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In Anbetracht di</w:t>
      </w:r>
      <w:r>
        <w:rPr>
          <w:rFonts w:ascii="Helvetica" w:eastAsia="Times New Roman" w:hAnsi="Helvetica" w:cs="Helvetica"/>
          <w:b/>
          <w:bCs/>
          <w:color w:val="000000"/>
          <w:sz w:val="24"/>
          <w:szCs w:val="24"/>
          <w:lang w:eastAsia="nl-NL"/>
        </w:rPr>
        <w:t xml:space="preserve">eser Tatsachen konnten und sollten die EMA und die Kommission die Arzneimittel nicht als </w:t>
      </w:r>
      <w:r>
        <w:rPr>
          <w:rFonts w:ascii="Helvetica" w:eastAsia="Times New Roman" w:hAnsi="Helvetica" w:cs="Helvetica"/>
          <w:b/>
          <w:bCs/>
          <w:i/>
          <w:iCs/>
          <w:color w:val="000000"/>
          <w:sz w:val="24"/>
          <w:szCs w:val="24"/>
          <w:lang w:eastAsia="nl-NL"/>
        </w:rPr>
        <w:t xml:space="preserve">ausreichend sicher </w:t>
      </w:r>
      <w:r>
        <w:rPr>
          <w:rFonts w:ascii="Helvetica" w:eastAsia="Times New Roman" w:hAnsi="Helvetica" w:cs="Helvetica"/>
          <w:b/>
          <w:bCs/>
          <w:color w:val="000000"/>
          <w:sz w:val="24"/>
          <w:szCs w:val="24"/>
          <w:lang w:eastAsia="nl-NL"/>
        </w:rPr>
        <w:t>bewerten. Sie sind in mehrfacher Hinsicht experimentell. Sie wurden nicht nur mit einer Notfallzulassung, einem so genannten Fast-Track-Verfahren, auf der Grundlage minimaler Forschungsdaten zur Sicherheit und Wirksamkeit zugelassen, sondern die Bedingunge</w:t>
      </w:r>
      <w:r>
        <w:rPr>
          <w:rFonts w:ascii="Helvetica" w:eastAsia="Times New Roman" w:hAnsi="Helvetica" w:cs="Helvetica"/>
          <w:b/>
          <w:bCs/>
          <w:color w:val="000000"/>
          <w:sz w:val="24"/>
          <w:szCs w:val="24"/>
          <w:lang w:eastAsia="nl-NL"/>
        </w:rPr>
        <w:t>n wurden auch nicht erfüllt. Außerdem handelt es sich um eine Gentherapie, die noch nie zuvor zur Immunisierung eingesetzt wurde. Die übliche Forschungszeit für ein solches Versuchsmedikament hat sich nach Einschätzung der Industrie um 15 Jahre verkürzt. D</w:t>
      </w:r>
      <w:r>
        <w:rPr>
          <w:rFonts w:ascii="Helvetica" w:eastAsia="Times New Roman" w:hAnsi="Helvetica" w:cs="Helvetica"/>
          <w:b/>
          <w:bCs/>
          <w:color w:val="000000"/>
          <w:sz w:val="24"/>
          <w:szCs w:val="24"/>
          <w:lang w:eastAsia="nl-NL"/>
        </w:rPr>
        <w:t xml:space="preserve">ie Hersteller lehnen jede Haftung ab, da diese Medikamente </w:t>
      </w:r>
      <w:r>
        <w:rPr>
          <w:rFonts w:ascii="Helvetica" w:eastAsia="Times New Roman" w:hAnsi="Helvetica" w:cs="Helvetica"/>
          <w:b/>
          <w:bCs/>
          <w:i/>
          <w:iCs/>
          <w:color w:val="000000"/>
          <w:sz w:val="24"/>
          <w:szCs w:val="24"/>
          <w:lang w:eastAsia="nl-NL"/>
        </w:rPr>
        <w:t xml:space="preserve">in aller Eile entwickelt wurden und </w:t>
      </w:r>
      <w:r>
        <w:rPr>
          <w:rFonts w:ascii="Helvetica" w:eastAsia="Times New Roman" w:hAnsi="Helvetica" w:cs="Helvetica"/>
          <w:b/>
          <w:bCs/>
          <w:color w:val="000000"/>
          <w:sz w:val="24"/>
          <w:szCs w:val="24"/>
          <w:lang w:eastAsia="nl-NL"/>
        </w:rPr>
        <w:t>ihre langfristige Wirksamkeit und ihre Nebenwirkungen unbekannt sind. Diese Medikamente befinden sich noch in der Forschungsphase. Sie erhielten eine vollständig</w:t>
      </w:r>
      <w:r>
        <w:rPr>
          <w:rFonts w:ascii="Helvetica" w:eastAsia="Times New Roman" w:hAnsi="Helvetica" w:cs="Helvetica"/>
          <w:b/>
          <w:bCs/>
          <w:color w:val="000000"/>
          <w:sz w:val="24"/>
          <w:szCs w:val="24"/>
          <w:lang w:eastAsia="nl-NL"/>
        </w:rPr>
        <w:t>e Freistellung von allen möglichen Verbindlichkeiten. Es war im Voraus bekannt, dass mit schwerwiegenden Nebenwirkungen zu rechnen war. Das Erfordernis der nachgewiesenen Sicherheit wurde also in keiner Weise erfüllt.</w:t>
      </w:r>
    </w:p>
    <w:p w14:paraId="015AE640"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lastRenderedPageBreak/>
        <w:t xml:space="preserve"> Akzeptanz von "Impfungen</w:t>
      </w:r>
    </w:p>
    <w:p w14:paraId="015AE641"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Das dritte K</w:t>
      </w:r>
      <w:r>
        <w:rPr>
          <w:rFonts w:ascii="Helvetica" w:eastAsia="Times New Roman" w:hAnsi="Helvetica" w:cs="Helvetica"/>
          <w:color w:val="000000"/>
          <w:sz w:val="24"/>
          <w:szCs w:val="24"/>
          <w:lang w:eastAsia="nl-NL"/>
        </w:rPr>
        <w:t xml:space="preserve">riterium für die Beurteilung, ob ein Impfstoff in ein öffentliches Impfprogramm aufgenommen werden kann, ist die Frage, ob er </w:t>
      </w:r>
      <w:r>
        <w:rPr>
          <w:rFonts w:ascii="Helvetica" w:eastAsia="Times New Roman" w:hAnsi="Helvetica" w:cs="Helvetica"/>
          <w:b/>
          <w:bCs/>
          <w:color w:val="000000"/>
          <w:sz w:val="24"/>
          <w:szCs w:val="24"/>
          <w:lang w:eastAsia="nl-NL"/>
        </w:rPr>
        <w:t>akzeptabel ist</w:t>
      </w:r>
      <w:r>
        <w:rPr>
          <w:rFonts w:ascii="Helvetica" w:eastAsia="Times New Roman" w:hAnsi="Helvetica" w:cs="Helvetica"/>
          <w:color w:val="000000"/>
          <w:sz w:val="24"/>
          <w:szCs w:val="24"/>
          <w:lang w:eastAsia="nl-NL"/>
        </w:rPr>
        <w:t>. Diese wird bestimmt durch das Verhältnis zwischen dem Gesundheitsgewinn aufgrund des Schutzes vor Krankheiten (Nut</w:t>
      </w:r>
      <w:r>
        <w:rPr>
          <w:rFonts w:ascii="Helvetica" w:eastAsia="Times New Roman" w:hAnsi="Helvetica" w:cs="Helvetica"/>
          <w:color w:val="000000"/>
          <w:sz w:val="24"/>
          <w:szCs w:val="24"/>
          <w:lang w:eastAsia="nl-NL"/>
        </w:rPr>
        <w:t>zen) und dem Gesundheitsverlust aufgrund etwaiger nachteiliger Auswirkungen der Impfung (Risiko). Ein Kompromiss ist hier unnötig. Die Medikamente bieten keinen tatsächlichen gesundheitlichen Nutzen, während die Sicherheit kaum oder gar nicht untersucht wu</w:t>
      </w:r>
      <w:r>
        <w:rPr>
          <w:rFonts w:ascii="Helvetica" w:eastAsia="Times New Roman" w:hAnsi="Helvetica" w:cs="Helvetica"/>
          <w:color w:val="000000"/>
          <w:sz w:val="24"/>
          <w:szCs w:val="24"/>
          <w:lang w:eastAsia="nl-NL"/>
        </w:rPr>
        <w:t>rde. Schließlich laufen die klinischen Versuche noch. Sie sind sich dessen bewusst.</w:t>
      </w:r>
    </w:p>
    <w:p w14:paraId="015AE642"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Für 99,98 % der Bevölkerung stellt COVID-19 keine Gefahr dar. Ein Impfstoff kann für diese Gruppe nur dann akzeptabel sein, wenn jedes Risiko von Nebenwirkungen ausgeschlos</w:t>
      </w:r>
      <w:r>
        <w:rPr>
          <w:rFonts w:ascii="Helvetica" w:eastAsia="Times New Roman" w:hAnsi="Helvetica" w:cs="Helvetica"/>
          <w:color w:val="000000"/>
          <w:sz w:val="24"/>
          <w:szCs w:val="24"/>
          <w:lang w:eastAsia="nl-NL"/>
        </w:rPr>
        <w:t xml:space="preserve">sen ist. Schließlich darf das Heilmittel nicht schlimmer sein als die Krankheit. Dies gilt auch für junge Menschen. Die Kinder überleben in 99-995 % der Fälle. Die 0,005 %, die sterben, haben schwere Grunderkrankungen. </w:t>
      </w:r>
      <w:hyperlink r:id="rId19" w:anchor="_ftn14" w:history="1">
        <w:bookmarkStart w:id="12" w:name="_ftnref14"/>
        <w:r>
          <w:rPr>
            <w:rFonts w:ascii="Helvetica" w:eastAsia="Times New Roman" w:hAnsi="Helvetica" w:cs="Helvetica"/>
            <w:color w:val="EC8823"/>
            <w:sz w:val="24"/>
            <w:szCs w:val="24"/>
            <w:lang w:eastAsia="nl-NL"/>
          </w:rPr>
          <w:t xml:space="preserve">[14] </w:t>
        </w:r>
      </w:hyperlink>
      <w:bookmarkEnd w:id="12"/>
      <w:r>
        <w:rPr>
          <w:rFonts w:ascii="Helvetica" w:eastAsia="Times New Roman" w:hAnsi="Helvetica" w:cs="Helvetica"/>
          <w:color w:val="000000"/>
          <w:sz w:val="24"/>
          <w:szCs w:val="24"/>
          <w:lang w:eastAsia="nl-NL"/>
        </w:rPr>
        <w:t>Diese Medikamente sind jedoch nicht ohne Risiko. Sie wissen das. Damit nehmen Sie wissentlich in Kauf, dass Millionen von unwissenden gesunden Bürgern ernsthafte Gesundheitsschäden drohen.</w:t>
      </w:r>
    </w:p>
    <w:p w14:paraId="015AE643"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N</w:t>
      </w:r>
      <w:r>
        <w:rPr>
          <w:rFonts w:ascii="Helvetica" w:eastAsia="Times New Roman" w:hAnsi="Helvetica" w:cs="Helvetica"/>
          <w:color w:val="000000"/>
          <w:sz w:val="24"/>
          <w:szCs w:val="24"/>
          <w:lang w:eastAsia="nl-NL"/>
        </w:rPr>
        <w:t>och nie sind Medikamente auf den Markt gekommen, bei denen so viele Berichte über schwere und weniger schwere Nebenwirkungen vorliegen. Am Lareb wurden 656.511 unerwünschte Ereignisse gemeldet, davon 3.089 schwerwiegende und 514 Todesfälle. Dies ist wahrsc</w:t>
      </w:r>
      <w:r>
        <w:rPr>
          <w:rFonts w:ascii="Helvetica" w:eastAsia="Times New Roman" w:hAnsi="Helvetica" w:cs="Helvetica"/>
          <w:color w:val="000000"/>
          <w:sz w:val="24"/>
          <w:szCs w:val="24"/>
          <w:lang w:eastAsia="nl-NL"/>
        </w:rPr>
        <w:t>heinlich eine grobe Unterschätzung. Dreimal so viele Todesfälle wurden bei einer von dem außerpalamentarischen Untersuchungsausschuss (der Niederlande) eingerichteten Hotline gemeldet. Bei EudraVigilance steht der Zähler bei fast 24 Tausend Todesfällen, da</w:t>
      </w:r>
      <w:r>
        <w:rPr>
          <w:rFonts w:ascii="Helvetica" w:eastAsia="Times New Roman" w:hAnsi="Helvetica" w:cs="Helvetica"/>
          <w:color w:val="000000"/>
          <w:sz w:val="24"/>
          <w:szCs w:val="24"/>
          <w:lang w:eastAsia="nl-NL"/>
        </w:rPr>
        <w:t>von 19 Kinder (Stand 14.8.2021).</w:t>
      </w:r>
    </w:p>
    <w:p w14:paraId="015AE644"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In den letzten acht Monaten wurden mehr unerwünschte Reaktionen und Todesfälle gemeldet als in den letzten 50 Jahren bei allen Impfungen zusammen. Zum Vergleich: Die Grippeimpfkampagne in der Saison 2019-2020 führte beim La</w:t>
      </w:r>
      <w:r>
        <w:rPr>
          <w:rFonts w:ascii="Helvetica" w:eastAsia="Times New Roman" w:hAnsi="Helvetica" w:cs="Helvetica"/>
          <w:color w:val="000000"/>
          <w:sz w:val="24"/>
          <w:szCs w:val="24"/>
          <w:lang w:eastAsia="nl-NL"/>
        </w:rPr>
        <w:t>reb zu 749 Meldungen bei drei Millionen Impfungen, darunter drei Todesfälle und sechs Krankenhausaufenthalte. Die Zahl der gemeldeten Todesfälle ist bei COVID-19-Injektionen 23-mal und die Zahl der Krankenhauseinweisungen 70-mal höher. Dies ist bereits der</w:t>
      </w:r>
      <w:r>
        <w:rPr>
          <w:rFonts w:ascii="Helvetica" w:eastAsia="Times New Roman" w:hAnsi="Helvetica" w:cs="Helvetica"/>
          <w:color w:val="000000"/>
          <w:sz w:val="24"/>
          <w:szCs w:val="24"/>
          <w:lang w:eastAsia="nl-NL"/>
        </w:rPr>
        <w:t xml:space="preserve"> Fall, während die langfristigen Folgen noch völlig unbekannt sind.</w:t>
      </w:r>
    </w:p>
    <w:p w14:paraId="015AE645"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Es ist wichtig, darauf hinzuweisen, dass es sich bei den Opfern von COVID-19-Injektionen meist um Menschen handelt, die nichts von dieser Krankheit zu befürchten hatten. Einer kürzlich ver</w:t>
      </w:r>
      <w:r>
        <w:rPr>
          <w:rFonts w:ascii="Helvetica" w:eastAsia="Times New Roman" w:hAnsi="Helvetica" w:cs="Helvetica"/>
          <w:color w:val="000000"/>
          <w:sz w:val="24"/>
          <w:szCs w:val="24"/>
          <w:lang w:eastAsia="nl-NL"/>
        </w:rPr>
        <w:t xml:space="preserve">öffentlichten Studie zufolge werden zwei gesunde Leben geopfert, um drei mit begrenzter Lebenserwartung zu verlängern. </w:t>
      </w:r>
      <w:r>
        <w:rPr>
          <w:rFonts w:ascii="Helvetica" w:eastAsia="Times New Roman" w:hAnsi="Helvetica" w:cs="Helvetica"/>
          <w:color w:val="FF8000"/>
          <w:sz w:val="24"/>
          <w:szCs w:val="24"/>
          <w:vertAlign w:val="superscript"/>
          <w:lang w:eastAsia="nl-NL"/>
        </w:rPr>
        <w:t>[</w:t>
      </w:r>
      <w:hyperlink r:id="rId20" w:anchor="_ftn1" w:history="1">
        <w:r>
          <w:rPr>
            <w:rFonts w:ascii="Helvetica" w:eastAsia="Times New Roman" w:hAnsi="Helvetica" w:cs="Helvetica"/>
            <w:color w:val="FF8000"/>
            <w:sz w:val="24"/>
            <w:szCs w:val="24"/>
            <w:vertAlign w:val="superscript"/>
            <w:lang w:eastAsia="nl-NL"/>
          </w:rPr>
          <w:t>15]</w:t>
        </w:r>
      </w:hyperlink>
      <w:r>
        <w:rPr>
          <w:rFonts w:ascii="Helvetica" w:eastAsia="Times New Roman" w:hAnsi="Helvetica" w:cs="Helvetica"/>
          <w:color w:val="EC8823"/>
          <w:sz w:val="24"/>
          <w:szCs w:val="24"/>
          <w:vertAlign w:val="superscript"/>
          <w:lang w:eastAsia="nl-NL"/>
        </w:rPr>
        <w:t xml:space="preserve"> </w:t>
      </w:r>
      <w:bookmarkEnd w:id="0"/>
      <w:r>
        <w:rPr>
          <w:rFonts w:ascii="Helvetica" w:eastAsia="Times New Roman" w:hAnsi="Helvetica" w:cs="Helvetica"/>
          <w:color w:val="000000"/>
          <w:sz w:val="24"/>
          <w:szCs w:val="24"/>
          <w:lang w:eastAsia="nl-NL"/>
        </w:rPr>
        <w:t xml:space="preserve">Nach der Zahl der </w:t>
      </w:r>
      <w:r>
        <w:rPr>
          <w:rFonts w:ascii="Helvetica" w:eastAsia="Times New Roman" w:hAnsi="Helvetica" w:cs="Helvetica"/>
          <w:color w:val="000000"/>
          <w:sz w:val="24"/>
          <w:szCs w:val="24"/>
          <w:lang w:eastAsia="nl-NL"/>
        </w:rPr>
        <w:t>Meldungen an den BPOC (außerpalamentarischer Untersuchungsaussuchuss der Niederlande) zu urteilen, würde dieses Verhältnis auch sechs Leben betragen, um das Leben von zwei Menschen mit begrenzter Lebenserwartung zu verlängern.</w:t>
      </w:r>
    </w:p>
    <w:p w14:paraId="015AE646"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 xml:space="preserve">Die Bilanz ist katastrophal. </w:t>
      </w:r>
      <w:r>
        <w:rPr>
          <w:rFonts w:ascii="Helvetica" w:eastAsia="Times New Roman" w:hAnsi="Helvetica" w:cs="Helvetica"/>
          <w:b/>
          <w:bCs/>
          <w:color w:val="000000"/>
          <w:sz w:val="24"/>
          <w:szCs w:val="24"/>
          <w:lang w:eastAsia="nl-NL"/>
        </w:rPr>
        <w:t>Für 99,995 % der Menschen, die das Medikament erhalten, gibt es keine nachweisbaren gesundheitlichen Vorteile. Auch für die Gesellschaft als Ganzes ergeben sich keine Vorteile. Andererseits gibt es zahlreiche bekannte und unbekannte Risiken schwerer und we</w:t>
      </w:r>
      <w:r>
        <w:rPr>
          <w:rFonts w:ascii="Helvetica" w:eastAsia="Times New Roman" w:hAnsi="Helvetica" w:cs="Helvetica"/>
          <w:b/>
          <w:bCs/>
          <w:color w:val="000000"/>
          <w:sz w:val="24"/>
          <w:szCs w:val="24"/>
          <w:lang w:eastAsia="nl-NL"/>
        </w:rPr>
        <w:t>niger schwerer Nebenwirkungen der als Gentherapie eingestuften experimentellen Arzneimittel. Noch nie in der Geschichte haben so viele Menschen nach der Einnahme eines vorbeugenden Medikaments schwere körperliche Schäden erlitten. In acht Monaten wurden me</w:t>
      </w:r>
      <w:r>
        <w:rPr>
          <w:rFonts w:ascii="Helvetica" w:eastAsia="Times New Roman" w:hAnsi="Helvetica" w:cs="Helvetica"/>
          <w:b/>
          <w:bCs/>
          <w:color w:val="000000"/>
          <w:sz w:val="24"/>
          <w:szCs w:val="24"/>
          <w:lang w:eastAsia="nl-NL"/>
        </w:rPr>
        <w:t xml:space="preserve">hr Todesfälle gemeldet als alle gemeldeten Todesfälle durch alle Impfungen zusammen seit 1950. Die Mittel konnten daher </w:t>
      </w:r>
      <w:r>
        <w:rPr>
          <w:rFonts w:ascii="Helvetica" w:eastAsia="Times New Roman" w:hAnsi="Helvetica" w:cs="Helvetica"/>
          <w:b/>
          <w:bCs/>
          <w:color w:val="000000"/>
          <w:sz w:val="24"/>
          <w:szCs w:val="24"/>
          <w:lang w:eastAsia="nl-NL"/>
        </w:rPr>
        <w:lastRenderedPageBreak/>
        <w:t>in keiner Weise als akzeptabel eingestuft werden. Die experimentellen Schweinegrippeimpfstoffe wurden nach 52 Todesfällen weltweit zurüc</w:t>
      </w:r>
      <w:r>
        <w:rPr>
          <w:rFonts w:ascii="Helvetica" w:eastAsia="Times New Roman" w:hAnsi="Helvetica" w:cs="Helvetica"/>
          <w:b/>
          <w:bCs/>
          <w:color w:val="000000"/>
          <w:sz w:val="24"/>
          <w:szCs w:val="24"/>
          <w:lang w:eastAsia="nl-NL"/>
        </w:rPr>
        <w:t>kgezogen. Allein in der EU, dem Vereinigten Königreich und den USA sind mehr als 30 000 Todesfälle auf diese Medikamente zurückzuführen.</w:t>
      </w:r>
    </w:p>
    <w:p w14:paraId="015AE647"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Wirksamkeit von "Impfungen</w:t>
      </w:r>
    </w:p>
    <w:p w14:paraId="015AE648"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Bevor eine Impfung in ein öffentliches Impfprogramm aufgenommen werden kann, muss das gesamt</w:t>
      </w:r>
      <w:r>
        <w:rPr>
          <w:rFonts w:ascii="Helvetica" w:eastAsia="Times New Roman" w:hAnsi="Helvetica" w:cs="Helvetica"/>
          <w:color w:val="000000"/>
          <w:sz w:val="24"/>
          <w:szCs w:val="24"/>
          <w:lang w:eastAsia="nl-NL"/>
        </w:rPr>
        <w:t xml:space="preserve">e Spektrum der Kosten, des Nutzens sowie der erwünschten und unerwünschten gesundheitlichen Auswirkungen dieser Impfung bewertet werden. </w:t>
      </w:r>
      <w:hyperlink r:id="rId21" w:anchor="_ftn16" w:history="1">
        <w:bookmarkStart w:id="13" w:name="_ftnref16"/>
        <w:r>
          <w:rPr>
            <w:rFonts w:ascii="Helvetica" w:eastAsia="Times New Roman" w:hAnsi="Helvetica" w:cs="Helvetica"/>
            <w:color w:val="EC8823"/>
            <w:sz w:val="24"/>
            <w:szCs w:val="24"/>
            <w:vertAlign w:val="superscript"/>
            <w:lang w:eastAsia="nl-NL"/>
          </w:rPr>
          <w:t xml:space="preserve">[16] </w:t>
        </w:r>
      </w:hyperlink>
      <w:bookmarkEnd w:id="13"/>
    </w:p>
    <w:p w14:paraId="015AE649"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In einer Kosten</w:t>
      </w:r>
      <w:r>
        <w:rPr>
          <w:rFonts w:ascii="Helvetica" w:eastAsia="Times New Roman" w:hAnsi="Helvetica" w:cs="Helvetica"/>
          <w:color w:val="000000"/>
          <w:sz w:val="24"/>
          <w:szCs w:val="24"/>
          <w:lang w:eastAsia="nl-NL"/>
        </w:rPr>
        <w:t>wirksamkeitsanalyse (CEA) werden die Kosten pro verhindertem Krankheitsfall oder gewonnenem Lebensjahr geschätzt. Eine Kosten-Wirksamkeits-Analyse (KUA) geht noch einen Schritt weiter. Bei einer solchen Analyse werden die Auswirkungen auf die Gesundheit um</w:t>
      </w:r>
      <w:r>
        <w:rPr>
          <w:rFonts w:ascii="Helvetica" w:eastAsia="Times New Roman" w:hAnsi="Helvetica" w:cs="Helvetica"/>
          <w:color w:val="000000"/>
          <w:sz w:val="24"/>
          <w:szCs w:val="24"/>
          <w:lang w:eastAsia="nl-NL"/>
        </w:rPr>
        <w:t xml:space="preserve"> die Lebensqualität korrigiert und in QALYs (</w:t>
      </w:r>
      <w:r>
        <w:rPr>
          <w:rFonts w:ascii="Helvetica" w:eastAsia="Times New Roman" w:hAnsi="Helvetica" w:cs="Helvetica"/>
          <w:i/>
          <w:iCs/>
          <w:color w:val="000000"/>
          <w:sz w:val="24"/>
          <w:szCs w:val="24"/>
          <w:lang w:eastAsia="nl-NL"/>
        </w:rPr>
        <w:t xml:space="preserve">Quality Adjusted Life Years) </w:t>
      </w:r>
      <w:r>
        <w:rPr>
          <w:rFonts w:ascii="Helvetica" w:eastAsia="Times New Roman" w:hAnsi="Helvetica" w:cs="Helvetica"/>
          <w:color w:val="000000"/>
          <w:sz w:val="24"/>
          <w:szCs w:val="24"/>
          <w:lang w:eastAsia="nl-NL"/>
        </w:rPr>
        <w:t>ausgedrückt. Damit ist es im Prinzip möglich, das Kosten-Nutzen-Verhältnis zwischen allen Arten von Maßnahmen zu vergleichen, auch zwischen solchen anderer Art.</w:t>
      </w:r>
    </w:p>
    <w:p w14:paraId="015AE64A"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Eine Kosten-Wirksamke</w:t>
      </w:r>
      <w:r>
        <w:rPr>
          <w:rFonts w:ascii="Helvetica" w:eastAsia="Times New Roman" w:hAnsi="Helvetica" w:cs="Helvetica"/>
          <w:color w:val="000000"/>
          <w:sz w:val="24"/>
          <w:szCs w:val="24"/>
          <w:lang w:eastAsia="nl-NL"/>
        </w:rPr>
        <w:t xml:space="preserve">its-Analyse ist ein wichtiges Instrument zur Bewertung der Effizienz. Ihre Stellungnahme widerspricht daher der Rahmenstellungnahme von 2007, in der dies als unverzichtbarer Teil der Bewertung angesehen wird. </w:t>
      </w:r>
      <w:hyperlink r:id="rId22" w:anchor="_ftn17" w:history="1">
        <w:bookmarkStart w:id="14" w:name="_ftnref17"/>
        <w:r>
          <w:rPr>
            <w:rFonts w:ascii="Helvetica" w:eastAsia="Times New Roman" w:hAnsi="Helvetica" w:cs="Helvetica"/>
            <w:color w:val="EC8823"/>
            <w:sz w:val="24"/>
            <w:szCs w:val="24"/>
            <w:vertAlign w:val="superscript"/>
            <w:lang w:eastAsia="nl-NL"/>
          </w:rPr>
          <w:t xml:space="preserve">[17] </w:t>
        </w:r>
      </w:hyperlink>
      <w:bookmarkEnd w:id="14"/>
    </w:p>
    <w:p w14:paraId="015AE64B"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Ihr Ausschuss hat jedoch keine Analyse durchgeführt, weil er feststellte, dass keine Daten verfügbar waren. Es ist daher sicher, dass auch dieses Kriterium nicht erfüllt ist.</w:t>
      </w:r>
    </w:p>
    <w:p w14:paraId="015AE64C"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Prioritätensetzung</w:t>
      </w:r>
    </w:p>
    <w:p w14:paraId="015AE64D"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Das l</w:t>
      </w:r>
      <w:r>
        <w:rPr>
          <w:rFonts w:ascii="Helvetica" w:eastAsia="Times New Roman" w:hAnsi="Helvetica" w:cs="Helvetica"/>
          <w:color w:val="000000"/>
          <w:sz w:val="24"/>
          <w:szCs w:val="24"/>
          <w:lang w:eastAsia="nl-NL"/>
        </w:rPr>
        <w:t>etzte Kriterium, nämlich die Bewertung der Prioritätensetzung bei der Impfung, muss nicht diskutiert werden. Die Feststellung, dass die in COVID-19-Injektionspräparate geflossenen öffentlichen Mittel keinen gesundheitlichen Nutzen schaffen, dient auch nich</w:t>
      </w:r>
      <w:r>
        <w:rPr>
          <w:rFonts w:ascii="Helvetica" w:eastAsia="Times New Roman" w:hAnsi="Helvetica" w:cs="Helvetica"/>
          <w:color w:val="000000"/>
          <w:sz w:val="24"/>
          <w:szCs w:val="24"/>
          <w:lang w:eastAsia="nl-NL"/>
        </w:rPr>
        <w:t>t einem dringenden Interesse der öffentlichen Gesundheit.</w:t>
      </w:r>
    </w:p>
    <w:p w14:paraId="015AE64E" w14:textId="77777777" w:rsidR="002C53C4" w:rsidRDefault="00E91CB4">
      <w:pPr>
        <w:shd w:val="clear" w:color="auto" w:fill="FFFFFF"/>
        <w:spacing w:after="0" w:line="240" w:lineRule="auto"/>
        <w:textAlignment w:val="baseline"/>
      </w:pPr>
      <w:r>
        <w:rPr>
          <w:rFonts w:ascii="Helvetica" w:eastAsia="Times New Roman" w:hAnsi="Helvetica" w:cs="Helvetica"/>
          <w:b/>
          <w:bCs/>
          <w:color w:val="000000"/>
          <w:sz w:val="24"/>
          <w:szCs w:val="24"/>
          <w:lang w:eastAsia="nl-NL"/>
        </w:rPr>
        <w:t>Die Schlussfolgerung ist eindeutig: Keines der Kriterien für die Aufnahme der COVID-19-"Impfstoffe" in ein öffentliches Impfprogramm ist erfüllt. Dabei handelt es sich um experimentelle Gentherapien</w:t>
      </w:r>
      <w:r>
        <w:rPr>
          <w:rFonts w:ascii="Helvetica" w:eastAsia="Times New Roman" w:hAnsi="Helvetica" w:cs="Helvetica"/>
          <w:b/>
          <w:bCs/>
          <w:color w:val="000000"/>
          <w:sz w:val="24"/>
          <w:szCs w:val="24"/>
          <w:lang w:eastAsia="nl-NL"/>
        </w:rPr>
        <w:t>, deren Wirksamkeit und Sicherheit noch untersucht werden, die aber nachweislich keinen gesundheitlichen Nutzen haben. Millionen von Menschen, für die COVID-19 keinerlei Bedrohung darstellt, erhielten die Medikamente und wurden wissentlich ernsthaften Risi</w:t>
      </w:r>
      <w:r>
        <w:rPr>
          <w:rFonts w:ascii="Helvetica" w:eastAsia="Times New Roman" w:hAnsi="Helvetica" w:cs="Helvetica"/>
          <w:b/>
          <w:bCs/>
          <w:color w:val="000000"/>
          <w:sz w:val="24"/>
          <w:szCs w:val="24"/>
          <w:lang w:eastAsia="nl-NL"/>
        </w:rPr>
        <w:t>ken ausgesetzt. In der Zwischenzeit haben Zehntausende von Menschen in Europa nach einer Injektion ihr Leben verloren und Hunderttausende haben schwere körperliche Schäden erlitten. Die positiven Stellungnahmen des Ausschusses sind somit Teil des größten m</w:t>
      </w:r>
      <w:r>
        <w:rPr>
          <w:rFonts w:ascii="Helvetica" w:eastAsia="Times New Roman" w:hAnsi="Helvetica" w:cs="Helvetica"/>
          <w:b/>
          <w:bCs/>
          <w:color w:val="000000"/>
          <w:sz w:val="24"/>
          <w:szCs w:val="24"/>
          <w:lang w:eastAsia="nl-NL"/>
        </w:rPr>
        <w:t>edizinischen Betrugs der Geschichte.</w:t>
      </w:r>
    </w:p>
    <w:p w14:paraId="015AE64F" w14:textId="77777777" w:rsidR="002C53C4" w:rsidRDefault="00E91CB4">
      <w:pPr>
        <w:shd w:val="clear" w:color="auto" w:fill="FFFFFF"/>
        <w:spacing w:after="0" w:line="360" w:lineRule="atLeast"/>
        <w:textAlignment w:val="baseline"/>
        <w:outlineLvl w:val="2"/>
      </w:pPr>
      <w:r>
        <w:rPr>
          <w:rFonts w:ascii="Georgia" w:eastAsia="Times New Roman" w:hAnsi="Georgia" w:cs="Times New Roman"/>
          <w:b/>
          <w:bCs/>
          <w:color w:val="000000"/>
          <w:sz w:val="44"/>
          <w:szCs w:val="44"/>
          <w:lang w:eastAsia="nl-NL"/>
        </w:rPr>
        <w:t>Schlussfolgerung</w:t>
      </w:r>
    </w:p>
    <w:p w14:paraId="015AE650"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Die Bilanz der obigen Ausführungen ist eindeutig. Auf der Grundlage des vom Gesundheitsrat selbst erstellten Bewertungsrahmens hätten die Ausschussmitglieder niemals zu einem positiven Urteil kommen kön</w:t>
      </w:r>
      <w:r>
        <w:rPr>
          <w:rFonts w:ascii="Helvetica" w:eastAsia="Times New Roman" w:hAnsi="Helvetica" w:cs="Helvetica"/>
          <w:color w:val="000000"/>
          <w:sz w:val="24"/>
          <w:szCs w:val="24"/>
          <w:lang w:eastAsia="nl-NL"/>
        </w:rPr>
        <w:t>nen. Die Rechtswidrigkeit Ihres Handelns ist also erwiesen.</w:t>
      </w:r>
    </w:p>
    <w:p w14:paraId="015AE651"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Als Ausschussmitglied haben Sie die Pflicht, nach dem Stand der Wissenschaft zu beraten, nach bestem Wissen und Gewissen im Interesse der öffentlichen Gesundheit zu handeln und ethische </w:t>
      </w:r>
      <w:r>
        <w:rPr>
          <w:rFonts w:ascii="Helvetica" w:eastAsia="Times New Roman" w:hAnsi="Helvetica" w:cs="Helvetica"/>
          <w:color w:val="000000"/>
          <w:sz w:val="24"/>
          <w:szCs w:val="24"/>
          <w:lang w:eastAsia="nl-NL"/>
        </w:rPr>
        <w:t>Grundsätze sorgfältig zu wahren.</w:t>
      </w:r>
    </w:p>
    <w:p w14:paraId="015AE652"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Die medizinischen Experimente während des Zweiten Weltkriegs waren der Anlass für die Aufstellung universeller ethischer Regeln im Nürnberger Kodex.</w:t>
      </w:r>
    </w:p>
    <w:p w14:paraId="015AE653"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lastRenderedPageBreak/>
        <w:t>Jede medizinische Maßnahme, egal wie wichtig oder wertvoll sie ist, erford</w:t>
      </w:r>
      <w:r>
        <w:rPr>
          <w:rFonts w:ascii="Helvetica" w:eastAsia="Times New Roman" w:hAnsi="Helvetica" w:cs="Helvetica"/>
          <w:color w:val="000000"/>
          <w:sz w:val="24"/>
          <w:szCs w:val="24"/>
          <w:lang w:eastAsia="nl-NL"/>
        </w:rPr>
        <w:t xml:space="preserve">ert eine vollständige </w:t>
      </w:r>
      <w:r>
        <w:rPr>
          <w:rFonts w:ascii="Helvetica" w:eastAsia="Times New Roman" w:hAnsi="Helvetica" w:cs="Helvetica"/>
          <w:i/>
          <w:iCs/>
          <w:color w:val="000000"/>
          <w:sz w:val="24"/>
          <w:szCs w:val="24"/>
          <w:lang w:eastAsia="nl-NL"/>
        </w:rPr>
        <w:t>Einwilligung nach Aufklärung</w:t>
      </w:r>
      <w:r>
        <w:rPr>
          <w:rFonts w:ascii="Helvetica" w:eastAsia="Times New Roman" w:hAnsi="Helvetica" w:cs="Helvetica"/>
          <w:color w:val="000000"/>
          <w:sz w:val="24"/>
          <w:szCs w:val="24"/>
          <w:lang w:eastAsia="nl-NL"/>
        </w:rPr>
        <w:t>. Das Recht, über den eigenen Körper zu bestimmen, hat immer Vorrang vor dem Gemeinwohl. Dies sind universelle Grundsätze, die die Menschenwürde schützen. Für diese Erkenntnis hat die Menschheit einen hohen</w:t>
      </w:r>
      <w:r>
        <w:rPr>
          <w:rFonts w:ascii="Helvetica" w:eastAsia="Times New Roman" w:hAnsi="Helvetica" w:cs="Helvetica"/>
          <w:color w:val="000000"/>
          <w:sz w:val="24"/>
          <w:szCs w:val="24"/>
          <w:lang w:eastAsia="nl-NL"/>
        </w:rPr>
        <w:t xml:space="preserve"> Preis bezahlt. Und gerade die Menschenrechtsverträge haben als </w:t>
      </w:r>
      <w:r>
        <w:rPr>
          <w:rFonts w:ascii="Helvetica" w:eastAsia="Times New Roman" w:hAnsi="Helvetica" w:cs="Helvetica"/>
          <w:i/>
          <w:iCs/>
          <w:color w:val="000000"/>
          <w:sz w:val="24"/>
          <w:szCs w:val="24"/>
          <w:lang w:eastAsia="nl-NL"/>
        </w:rPr>
        <w:t xml:space="preserve">Ziel und Zweck </w:t>
      </w:r>
      <w:r>
        <w:rPr>
          <w:rFonts w:ascii="Helvetica" w:eastAsia="Times New Roman" w:hAnsi="Helvetica" w:cs="Helvetica"/>
          <w:color w:val="000000"/>
          <w:sz w:val="24"/>
          <w:szCs w:val="24"/>
          <w:lang w:eastAsia="nl-NL"/>
        </w:rPr>
        <w:t>(</w:t>
      </w:r>
      <w:r>
        <w:rPr>
          <w:rFonts w:ascii="Helvetica" w:eastAsia="Times New Roman" w:hAnsi="Helvetica" w:cs="Helvetica"/>
          <w:i/>
          <w:iCs/>
          <w:color w:val="000000"/>
          <w:sz w:val="24"/>
          <w:szCs w:val="24"/>
          <w:lang w:eastAsia="nl-NL"/>
        </w:rPr>
        <w:t xml:space="preserve">a priori) den </w:t>
      </w:r>
      <w:r>
        <w:rPr>
          <w:rFonts w:ascii="Helvetica" w:eastAsia="Times New Roman" w:hAnsi="Helvetica" w:cs="Helvetica"/>
          <w:color w:val="000000"/>
          <w:sz w:val="24"/>
          <w:szCs w:val="24"/>
          <w:lang w:eastAsia="nl-NL"/>
        </w:rPr>
        <w:t>Schutz der Bürger vor Regierungen und Behörden, die diese Grundrechte missachten, zu bewahren.</w:t>
      </w:r>
    </w:p>
    <w:p w14:paraId="015AE654"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Der Ratschlag bildet jedoch die Grundlage für eine Politik, die die</w:t>
      </w:r>
      <w:r>
        <w:rPr>
          <w:rFonts w:ascii="Helvetica" w:eastAsia="Times New Roman" w:hAnsi="Helvetica" w:cs="Helvetica"/>
          <w:color w:val="000000"/>
          <w:sz w:val="24"/>
          <w:szCs w:val="24"/>
          <w:lang w:eastAsia="nl-NL"/>
        </w:rPr>
        <w:t xml:space="preserve"> Bevölkerung unter Druck setzt ("Zwang"), ein experimentelles Medikament einzunehmen, ohne sie aktiv zu informieren </w:t>
      </w:r>
      <w:r>
        <w:rPr>
          <w:rFonts w:ascii="Helvetica" w:eastAsia="Times New Roman" w:hAnsi="Helvetica" w:cs="Helvetica"/>
          <w:i/>
          <w:iCs/>
          <w:color w:val="000000"/>
          <w:sz w:val="24"/>
          <w:szCs w:val="24"/>
          <w:lang w:eastAsia="nl-NL"/>
        </w:rPr>
        <w:t xml:space="preserve">(fehlende informierte </w:t>
      </w:r>
      <w:r>
        <w:rPr>
          <w:rFonts w:ascii="Helvetica" w:eastAsia="Times New Roman" w:hAnsi="Helvetica" w:cs="Helvetica"/>
          <w:color w:val="000000"/>
          <w:sz w:val="24"/>
          <w:szCs w:val="24"/>
          <w:lang w:eastAsia="nl-NL"/>
        </w:rPr>
        <w:t>Zustimmung), obwohl feststeht, dass es keinen gesundheitlichen Nutzen hat. Massenimpfungen mit Medikamenten in der For</w:t>
      </w:r>
      <w:r>
        <w:rPr>
          <w:rFonts w:ascii="Helvetica" w:eastAsia="Times New Roman" w:hAnsi="Helvetica" w:cs="Helvetica"/>
          <w:color w:val="000000"/>
          <w:sz w:val="24"/>
          <w:szCs w:val="24"/>
          <w:lang w:eastAsia="nl-NL"/>
        </w:rPr>
        <w:t xml:space="preserve">schungsphase sind per Definition ein </w:t>
      </w:r>
      <w:r>
        <w:rPr>
          <w:rFonts w:ascii="Helvetica" w:eastAsia="Times New Roman" w:hAnsi="Helvetica" w:cs="Helvetica"/>
          <w:b/>
          <w:bCs/>
          <w:color w:val="000000"/>
          <w:sz w:val="24"/>
          <w:szCs w:val="24"/>
          <w:lang w:eastAsia="nl-NL"/>
        </w:rPr>
        <w:t>medizinisches Experiment an der Bevölkerung</w:t>
      </w:r>
      <w:r>
        <w:rPr>
          <w:rFonts w:ascii="Helvetica" w:eastAsia="Times New Roman" w:hAnsi="Helvetica" w:cs="Helvetica"/>
          <w:color w:val="000000"/>
          <w:sz w:val="24"/>
          <w:szCs w:val="24"/>
          <w:lang w:eastAsia="nl-NL"/>
        </w:rPr>
        <w:t>.</w:t>
      </w:r>
    </w:p>
    <w:p w14:paraId="015AE655"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Sie sind jedoch noch einen Schritt weiter gegangen.</w:t>
      </w:r>
    </w:p>
    <w:p w14:paraId="015AE656"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Mit dem Ratschlag "Ethische und rechtliche Überlegungen zur COVID-19-Impfung" haben Sie eine Blaupause für eine </w:t>
      </w:r>
      <w:r>
        <w:rPr>
          <w:rFonts w:ascii="Helvetica" w:eastAsia="Times New Roman" w:hAnsi="Helvetica" w:cs="Helvetica"/>
          <w:color w:val="000000"/>
          <w:sz w:val="24"/>
          <w:szCs w:val="24"/>
          <w:lang w:eastAsia="nl-NL"/>
        </w:rPr>
        <w:t>Gesellschaft geschrieben, in der Impfverweigerer unter Druck gesetzt werden, indem sie von der gesellschaftlichen Teilhabe weitgehend ausgeschlossen werden. Damit stellen Sie das kollektive Interesse - das es in Wirklichkeit nicht gibt - dem Recht des Einz</w:t>
      </w:r>
      <w:r>
        <w:rPr>
          <w:rFonts w:ascii="Helvetica" w:eastAsia="Times New Roman" w:hAnsi="Helvetica" w:cs="Helvetica"/>
          <w:color w:val="000000"/>
          <w:sz w:val="24"/>
          <w:szCs w:val="24"/>
          <w:lang w:eastAsia="nl-NL"/>
        </w:rPr>
        <w:t>elnen gegenüber, selbst zu entscheiden, ob er sich "impfen" lässt oder nicht. Ihr Ausschuss unterscheidet zwischen Zwang und Nötigung. Der Zwang würde erst dort beginnen, wo die Menschen zwangsweise injiziert werden. Diese Bemerkung verstößt eindeutig gege</w:t>
      </w:r>
      <w:r>
        <w:rPr>
          <w:rFonts w:ascii="Helvetica" w:eastAsia="Times New Roman" w:hAnsi="Helvetica" w:cs="Helvetica"/>
          <w:color w:val="000000"/>
          <w:sz w:val="24"/>
          <w:szCs w:val="24"/>
          <w:lang w:eastAsia="nl-NL"/>
        </w:rPr>
        <w:t>n das Völkerrecht.</w:t>
      </w:r>
    </w:p>
    <w:p w14:paraId="015AE657"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Damit haben Sie wissentlich eine klare rote Linie überschritten.</w:t>
      </w:r>
    </w:p>
    <w:p w14:paraId="015AE658"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Impfscheine als Eingriff in die Grundfreiheiten sind Praktiken, die in einem demokratischen Rechtsstaat keinen Platz haben. Eine Gesellschaft, in der die Ausübung der Grund</w:t>
      </w:r>
      <w:r>
        <w:rPr>
          <w:rFonts w:ascii="Helvetica" w:eastAsia="Times New Roman" w:hAnsi="Helvetica" w:cs="Helvetica"/>
          <w:color w:val="000000"/>
          <w:sz w:val="24"/>
          <w:szCs w:val="24"/>
          <w:lang w:eastAsia="nl-NL"/>
        </w:rPr>
        <w:t>rechte an Bedingungen geknüpft ist, ist nicht frei.</w:t>
      </w:r>
    </w:p>
    <w:p w14:paraId="015AE659"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Auf Ihren Rat hin führt das Kabinett derzeit eine Politik ein, die die niederländische Gesellschaft in einer Weise spalten wird wie seit dem Zweiten Weltkrieg nicht mehr. Impfscheine werden die Eintrittsk</w:t>
      </w:r>
      <w:r>
        <w:rPr>
          <w:rFonts w:ascii="Helvetica" w:eastAsia="Times New Roman" w:hAnsi="Helvetica" w:cs="Helvetica"/>
          <w:color w:val="000000"/>
          <w:sz w:val="24"/>
          <w:szCs w:val="24"/>
          <w:lang w:eastAsia="nl-NL"/>
        </w:rPr>
        <w:t>arte für die Teilnahme an der Gesellschaft sein.</w:t>
      </w:r>
    </w:p>
    <w:p w14:paraId="015AE65A"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Ihre Meinung ist die Grundlage für diese Spaltung, die durch eine breite Medienkampagne unterstützt wird, in der "Verweigerer" als asozial und minderwertig abgestempelt werden. Dies rechtfertigt die Ausübung</w:t>
      </w:r>
      <w:r>
        <w:rPr>
          <w:rFonts w:ascii="Helvetica" w:eastAsia="Times New Roman" w:hAnsi="Helvetica" w:cs="Helvetica"/>
          <w:color w:val="000000"/>
          <w:sz w:val="24"/>
          <w:szCs w:val="24"/>
          <w:lang w:eastAsia="nl-NL"/>
        </w:rPr>
        <w:t xml:space="preserve"> von sozialem Druck, der einer Nötigung gleichkommt.</w:t>
      </w:r>
    </w:p>
    <w:p w14:paraId="015AE65B"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Dies ist an sich schon rechtswidrig.</w:t>
      </w:r>
    </w:p>
    <w:p w14:paraId="015AE65C"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Es hat keinen Sinn, die Menschen zur Einnahme eines sinnlosen, experimentellen und riskanten Medikaments zu überreden, das die Ausbreitung des Virus nicht verhindern </w:t>
      </w:r>
      <w:r>
        <w:rPr>
          <w:rFonts w:ascii="Helvetica" w:eastAsia="Times New Roman" w:hAnsi="Helvetica" w:cs="Helvetica"/>
          <w:color w:val="000000"/>
          <w:sz w:val="24"/>
          <w:szCs w:val="24"/>
          <w:lang w:eastAsia="nl-NL"/>
        </w:rPr>
        <w:t>wird. Unter dem Vorwand und unter Missbrauch des Ansehens und des Vertrauens, das Sie als unabhängiger beratender Ausschuss genießen, erleichtern und legitimieren Sie schwerwiegende Verstöße gegen die Grundrechte und -freiheiten.</w:t>
      </w:r>
    </w:p>
    <w:p w14:paraId="015AE65D"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Ihre Ratschläge in Bezug a</w:t>
      </w:r>
      <w:r>
        <w:rPr>
          <w:rFonts w:ascii="Helvetica" w:eastAsia="Times New Roman" w:hAnsi="Helvetica" w:cs="Helvetica"/>
          <w:color w:val="000000"/>
          <w:sz w:val="24"/>
          <w:szCs w:val="24"/>
          <w:lang w:eastAsia="nl-NL"/>
        </w:rPr>
        <w:t>uf Kinder stellen auch einen schweren Verstoß gegen Artikel 3 Absatz 1 und Artikel 24 des Übereinkommens über die Rechte des Kindes dar. Das Wohl des Kindes muss bei allen Maßnahmen an erster Stelle stehen. Kinder sind von COVID-19 nicht betroffen. Dies is</w:t>
      </w:r>
      <w:r>
        <w:rPr>
          <w:rFonts w:ascii="Helvetica" w:eastAsia="Times New Roman" w:hAnsi="Helvetica" w:cs="Helvetica"/>
          <w:color w:val="000000"/>
          <w:sz w:val="24"/>
          <w:szCs w:val="24"/>
          <w:lang w:eastAsia="nl-NL"/>
        </w:rPr>
        <w:t>t wissenschaftlich erwiesen und wurde von Ihnen nicht bestritten. Ihr Rat, Kindern weiterhin eine experimentelle invasive medizinische Behandlung zukommen zu lassen, um ältere Menschen zu schützen, ist rechtlich, moralisch und ethisch inakzeptabel. Das Exp</w:t>
      </w:r>
      <w:r>
        <w:rPr>
          <w:rFonts w:ascii="Helvetica" w:eastAsia="Times New Roman" w:hAnsi="Helvetica" w:cs="Helvetica"/>
          <w:color w:val="000000"/>
          <w:sz w:val="24"/>
          <w:szCs w:val="24"/>
          <w:lang w:eastAsia="nl-NL"/>
        </w:rPr>
        <w:t>erimentieren mit der Gesundheit von Kindern ist ein schweres Verbrechen.</w:t>
      </w:r>
    </w:p>
    <w:p w14:paraId="015AE65E"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lastRenderedPageBreak/>
        <w:t>Es ist wichtig, dass Sie sich darüber im Klaren sind, dass die Tatsache, dass einer ganzen Bevölkerung unter Vorspiegelung falscher Tatsachen eine experimentelle Gentherapie verabreic</w:t>
      </w:r>
      <w:r>
        <w:rPr>
          <w:rFonts w:ascii="Helvetica" w:eastAsia="Times New Roman" w:hAnsi="Helvetica" w:cs="Helvetica"/>
          <w:color w:val="000000"/>
          <w:sz w:val="24"/>
          <w:szCs w:val="24"/>
          <w:lang w:eastAsia="nl-NL"/>
        </w:rPr>
        <w:t>ht wird, in deren Folge Tausende von Menschen sterben oder irreparable physische und psychische Schäden erleiden, deren langfristige Folgen nicht bekannt sind, einen schweren Verstoß gegen Artikel 7 des Internationalen Pakts über bürgerliche und politische</w:t>
      </w:r>
      <w:r>
        <w:rPr>
          <w:rFonts w:ascii="Helvetica" w:eastAsia="Times New Roman" w:hAnsi="Helvetica" w:cs="Helvetica"/>
          <w:color w:val="000000"/>
          <w:sz w:val="24"/>
          <w:szCs w:val="24"/>
          <w:lang w:eastAsia="nl-NL"/>
        </w:rPr>
        <w:t xml:space="preserve"> Rechte (ICCPR) darstellt.</w:t>
      </w:r>
    </w:p>
    <w:p w14:paraId="015AE65F"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Dies ist auch als Verbrechen gegen die Menschlichkeit im Sinne von Artikel 7 Absatz 1 Buchstabe k des Römischen Statuts des Internationalen Strafgerichtshofs einzustufen. Nach der Erläuterung zu Artikel 7 Absatz 2 ist dies als </w:t>
      </w:r>
      <w:r>
        <w:rPr>
          <w:rFonts w:ascii="Helvetica" w:eastAsia="Times New Roman" w:hAnsi="Helvetica" w:cs="Helvetica"/>
          <w:i/>
          <w:iCs/>
          <w:color w:val="000000"/>
          <w:sz w:val="24"/>
          <w:szCs w:val="24"/>
          <w:lang w:eastAsia="nl-NL"/>
        </w:rPr>
        <w:t>sy</w:t>
      </w:r>
      <w:r>
        <w:rPr>
          <w:rFonts w:ascii="Helvetica" w:eastAsia="Times New Roman" w:hAnsi="Helvetica" w:cs="Helvetica"/>
          <w:i/>
          <w:iCs/>
          <w:color w:val="000000"/>
          <w:sz w:val="24"/>
          <w:szCs w:val="24"/>
          <w:lang w:eastAsia="nl-NL"/>
        </w:rPr>
        <w:t>stematischer Angriff gegen die Zivilbevölkerung zu werten.</w:t>
      </w:r>
    </w:p>
    <w:p w14:paraId="015AE660"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Da auch die anderen Kriterien für eine strafrechtliche Verfolgung auf der Grundlage dieser Tatsachen erfüllt sind, beabsichtigen wir, neben dem Zivilverfahren auch eine Klage beim Internationalen S</w:t>
      </w:r>
      <w:r>
        <w:rPr>
          <w:rFonts w:ascii="Helvetica" w:eastAsia="Times New Roman" w:hAnsi="Helvetica" w:cs="Helvetica"/>
          <w:color w:val="000000"/>
          <w:sz w:val="24"/>
          <w:szCs w:val="24"/>
          <w:lang w:eastAsia="nl-NL"/>
        </w:rPr>
        <w:t>trafgerichtshof gegen Sie und die anderen Ausschussmitglieder einzureichen.</w:t>
      </w:r>
    </w:p>
    <w:p w14:paraId="015AE661"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Im Interesse des Wohlergehens, der öffentlichen Gesundheit und der Aufrechterhaltung der Rechtsstaatlichkeit müssen diese Verbrechen sofort beendet werden. Der Schlüssel dazu liegt</w:t>
      </w:r>
      <w:r>
        <w:rPr>
          <w:rFonts w:ascii="Helvetica" w:eastAsia="Times New Roman" w:hAnsi="Helvetica" w:cs="Helvetica"/>
          <w:color w:val="000000"/>
          <w:sz w:val="24"/>
          <w:szCs w:val="24"/>
          <w:lang w:eastAsia="nl-NL"/>
        </w:rPr>
        <w:t xml:space="preserve"> in Ihren Händen.</w:t>
      </w:r>
    </w:p>
    <w:p w14:paraId="015AE662"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Wir fordern Sie auf, alles zu tun, um dieser Aufforderung nachzukommen. Wenn Sie dies tun, werden wir keine zivil- oder strafrechtlichen Schritte gegen Sie persönlich einleiten.</w:t>
      </w:r>
    </w:p>
    <w:p w14:paraId="015AE663"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Ich möchte Ihre Aufmerksamkeit auf Folgendes lenken. Sie mög</w:t>
      </w:r>
      <w:r>
        <w:rPr>
          <w:rFonts w:ascii="Helvetica" w:eastAsia="Times New Roman" w:hAnsi="Helvetica" w:cs="Helvetica"/>
          <w:color w:val="000000"/>
          <w:sz w:val="24"/>
          <w:szCs w:val="24"/>
          <w:lang w:eastAsia="nl-NL"/>
        </w:rPr>
        <w:t>en denken, dass unter den gegebenen Umständen die Chancen auf eine strafrechtliche Verfolgung gering sind. Das ist richtig. Sie sollten jedoch bedenken, dass diese Art von Straftaten nicht verjährt ist. Die Situation kann sich in naher oder fernerer Zukunf</w:t>
      </w:r>
      <w:r>
        <w:rPr>
          <w:rFonts w:ascii="Helvetica" w:eastAsia="Times New Roman" w:hAnsi="Helvetica" w:cs="Helvetica"/>
          <w:color w:val="000000"/>
          <w:sz w:val="24"/>
          <w:szCs w:val="24"/>
          <w:lang w:eastAsia="nl-NL"/>
        </w:rPr>
        <w:t>t drastisch ändern.</w:t>
      </w:r>
    </w:p>
    <w:p w14:paraId="015AE664"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Übrigens liegt es auch in Ihrem eigenen Interesse und dem Ihrer Angehörigen, die ethisch und moralisch richtige Entscheidung zu treffen. Wir vertrauen darauf, dass Sie dies tun werden.</w:t>
      </w:r>
    </w:p>
    <w:p w14:paraId="015AE665"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Mit freundlichen Grüßen,</w:t>
      </w:r>
    </w:p>
    <w:p w14:paraId="015AE666"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STIFTUNG VIRUSWAARHEID, un</w:t>
      </w:r>
      <w:r>
        <w:rPr>
          <w:rFonts w:ascii="Helvetica" w:eastAsia="Times New Roman" w:hAnsi="Helvetica" w:cs="Helvetica"/>
          <w:color w:val="000000"/>
          <w:sz w:val="24"/>
          <w:szCs w:val="24"/>
          <w:lang w:eastAsia="nl-NL"/>
        </w:rPr>
        <w:t>d im Namen der niederländischen Critical Prick Association</w:t>
      </w:r>
    </w:p>
    <w:p w14:paraId="015AE667"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xml:space="preserve">Herr Jeroen S. Pols. </w:t>
      </w:r>
    </w:p>
    <w:p w14:paraId="015AE668" w14:textId="77777777" w:rsidR="002C53C4" w:rsidRDefault="00E91CB4">
      <w:pPr>
        <w:shd w:val="clear" w:color="auto" w:fill="FFFFFF"/>
        <w:spacing w:after="0" w:line="240" w:lineRule="auto"/>
        <w:textAlignment w:val="baseline"/>
      </w:pPr>
      <w:r>
        <w:rPr>
          <w:rFonts w:ascii="Helvetica" w:eastAsia="Times New Roman" w:hAnsi="Helvetica" w:cs="Helvetica"/>
          <w:color w:val="000000"/>
          <w:sz w:val="24"/>
          <w:szCs w:val="24"/>
          <w:lang w:eastAsia="nl-NL"/>
        </w:rPr>
        <w:t> </w:t>
      </w:r>
    </w:p>
    <w:p w14:paraId="015AE669" w14:textId="77777777" w:rsidR="002C53C4" w:rsidRDefault="00E91CB4">
      <w:pPr>
        <w:shd w:val="clear" w:color="auto" w:fill="FFFFFF"/>
        <w:spacing w:after="0" w:line="240" w:lineRule="auto"/>
        <w:textAlignment w:val="baseline"/>
      </w:pPr>
      <w:bookmarkStart w:id="15" w:name="_ftn1"/>
      <w:r>
        <w:rPr>
          <w:rFonts w:ascii="Helvetica" w:eastAsia="Times New Roman" w:hAnsi="Helvetica" w:cs="Helvetica"/>
          <w:color w:val="000000"/>
          <w:sz w:val="24"/>
          <w:szCs w:val="24"/>
          <w:lang w:eastAsia="nl-NL"/>
        </w:rPr>
        <w:t>[</w:t>
      </w:r>
      <w:hyperlink r:id="rId23" w:anchor="_ftnref1" w:history="1">
        <w:r>
          <w:rPr>
            <w:rFonts w:ascii="Helvetica" w:eastAsia="Times New Roman" w:hAnsi="Helvetica" w:cs="Helvetica"/>
            <w:b/>
            <w:bCs/>
            <w:i/>
            <w:iCs/>
            <w:color w:val="EC8823"/>
            <w:sz w:val="24"/>
            <w:szCs w:val="24"/>
            <w:lang w:eastAsia="nl-NL"/>
          </w:rPr>
          <w:t xml:space="preserve">1] </w:t>
        </w:r>
      </w:hyperlink>
      <w:r>
        <w:rPr>
          <w:rFonts w:ascii="Helvetica" w:eastAsia="Times New Roman" w:hAnsi="Helvetica" w:cs="Helvetica"/>
          <w:color w:val="000000"/>
          <w:sz w:val="24"/>
          <w:szCs w:val="24"/>
          <w:lang w:eastAsia="nl-NL"/>
        </w:rPr>
        <w:t xml:space="preserve">Wenn in diesem Schreiben von "Impfstoff" oder </w:t>
      </w:r>
      <w:r>
        <w:rPr>
          <w:rFonts w:ascii="Helvetica" w:eastAsia="Times New Roman" w:hAnsi="Helvetica" w:cs="Helvetica"/>
          <w:color w:val="000000"/>
          <w:sz w:val="24"/>
          <w:szCs w:val="24"/>
          <w:lang w:eastAsia="nl-NL"/>
        </w:rPr>
        <w:t>"Impfstoffen" die Rede ist, sollte dies als experimentelle Gentherapie verstanden werden. Der Begriff "Injektionsmittel" bezieht sich auf die COVID-19-Injektionsmittel von AstraZeneca, Moderna, Janssen und BioNTech/Pfizer.</w:t>
      </w:r>
    </w:p>
    <w:p w14:paraId="015AE66A" w14:textId="77777777" w:rsidR="002C53C4" w:rsidRDefault="00E91CB4">
      <w:pPr>
        <w:shd w:val="clear" w:color="auto" w:fill="FFFFFF"/>
        <w:spacing w:after="0" w:line="240" w:lineRule="auto"/>
        <w:textAlignment w:val="baseline"/>
      </w:pPr>
      <w:hyperlink r:id="rId24" w:tgtFrame="_blank">
        <w:bookmarkStart w:id="16" w:name="_ftn2"/>
        <w:r>
          <w:rPr>
            <w:rFonts w:ascii="Helvetica" w:eastAsia="Times New Roman" w:hAnsi="Helvetica" w:cs="Helvetica"/>
            <w:color w:val="EC8823"/>
            <w:sz w:val="24"/>
            <w:szCs w:val="24"/>
            <w:lang w:eastAsia="nl-NL"/>
          </w:rPr>
          <w:t>[</w:t>
        </w:r>
      </w:hyperlink>
      <w:hyperlink r:id="rId25" w:anchor="_ftnref2" w:history="1">
        <w:r>
          <w:rPr>
            <w:rFonts w:ascii="Helvetica" w:eastAsia="Times New Roman" w:hAnsi="Helvetica" w:cs="Helvetica"/>
            <w:color w:val="EC8823"/>
            <w:sz w:val="24"/>
            <w:szCs w:val="24"/>
            <w:vertAlign w:val="superscript"/>
            <w:lang w:eastAsia="nl-NL"/>
          </w:rPr>
          <w:t xml:space="preserve">2] </w:t>
        </w:r>
      </w:hyperlink>
      <w:bookmarkEnd w:id="16"/>
      <w:r>
        <w:rPr>
          <w:rFonts w:ascii="Helvetica" w:eastAsia="Times New Roman" w:hAnsi="Helvetica" w:cs="Helvetica"/>
          <w:b/>
          <w:bCs/>
          <w:i/>
          <w:iCs/>
          <w:color w:val="000000"/>
          <w:sz w:val="24"/>
          <w:szCs w:val="24"/>
          <w:lang w:eastAsia="nl-NL"/>
        </w:rPr>
        <w:t>The fut</w:t>
      </w:r>
      <w:r>
        <w:rPr>
          <w:rFonts w:ascii="Helvetica" w:eastAsia="Times New Roman" w:hAnsi="Helvetica" w:cs="Helvetica"/>
          <w:b/>
          <w:bCs/>
          <w:i/>
          <w:iCs/>
          <w:color w:val="000000"/>
          <w:sz w:val="24"/>
          <w:szCs w:val="24"/>
          <w:lang w:eastAsia="nl-NL"/>
        </w:rPr>
        <w:t>ure of the National Vaccination Programme: Towards a programme for all ages</w:t>
      </w:r>
      <w:r>
        <w:rPr>
          <w:rFonts w:ascii="Helvetica" w:eastAsia="Times New Roman" w:hAnsi="Helvetica" w:cs="Helvetica"/>
          <w:color w:val="000000"/>
          <w:sz w:val="24"/>
          <w:szCs w:val="24"/>
          <w:lang w:eastAsia="nl-NL"/>
        </w:rPr>
        <w:t xml:space="preserve">, Nr. 2007/02, 7. März 2007 (im Folgenden: "2007 RVP advice"), Kapitel 6.2, S. 118 </w:t>
      </w:r>
      <w:r>
        <w:rPr>
          <w:rFonts w:ascii="Helvetica" w:eastAsia="Times New Roman" w:hAnsi="Helvetica" w:cs="Helvetica"/>
          <w:i/>
          <w:iCs/>
          <w:color w:val="000000"/>
          <w:sz w:val="24"/>
          <w:szCs w:val="24"/>
          <w:lang w:eastAsia="nl-NL"/>
        </w:rPr>
        <w:t>ff</w:t>
      </w:r>
      <w:r>
        <w:rPr>
          <w:rFonts w:ascii="Helvetica" w:eastAsia="Times New Roman" w:hAnsi="Helvetica" w:cs="Helvetica"/>
          <w:color w:val="000000"/>
          <w:sz w:val="24"/>
          <w:szCs w:val="24"/>
          <w:lang w:eastAsia="nl-NL"/>
        </w:rPr>
        <w:t xml:space="preserve">., </w:t>
      </w:r>
      <w:hyperlink r:id="rId26" w:tgtFrame="_blank">
        <w:r>
          <w:rPr>
            <w:rFonts w:ascii="Helvetica" w:eastAsia="Times New Roman" w:hAnsi="Helvetica" w:cs="Helvetica"/>
            <w:color w:val="EC8823"/>
            <w:sz w:val="24"/>
            <w:szCs w:val="24"/>
            <w:lang w:eastAsia="nl-NL"/>
          </w:rPr>
          <w:t>https://www.gezondheidsraad.nl/documenten/adviezen/2007/03/07/de-toekomst-van-het-rijksvaccinatrogramma-naar-een-programma-voor-alle-leeftijden.</w:t>
        </w:r>
      </w:hyperlink>
    </w:p>
    <w:p w14:paraId="015AE66B" w14:textId="77777777" w:rsidR="002C53C4" w:rsidRDefault="00E91CB4">
      <w:pPr>
        <w:shd w:val="clear" w:color="auto" w:fill="FFFFFF"/>
        <w:spacing w:after="0" w:line="240" w:lineRule="auto"/>
        <w:textAlignment w:val="baseline"/>
      </w:pPr>
      <w:bookmarkStart w:id="17" w:name="_ftn3"/>
      <w:r>
        <w:rPr>
          <w:rFonts w:ascii="Helvetica" w:eastAsia="Times New Roman" w:hAnsi="Helvetica" w:cs="Helvetica"/>
          <w:i/>
          <w:iCs/>
          <w:color w:val="000000"/>
          <w:sz w:val="24"/>
          <w:szCs w:val="24"/>
          <w:lang w:eastAsia="nl-NL"/>
        </w:rPr>
        <w:t>[</w:t>
      </w:r>
      <w:hyperlink r:id="rId27" w:anchor="_ftnref3" w:history="1">
        <w:r>
          <w:rPr>
            <w:rFonts w:ascii="Helvetica" w:eastAsia="Times New Roman" w:hAnsi="Helvetica" w:cs="Helvetica"/>
            <w:color w:val="EC8823"/>
            <w:sz w:val="24"/>
            <w:szCs w:val="24"/>
            <w:vertAlign w:val="superscript"/>
            <w:lang w:eastAsia="nl-NL"/>
          </w:rPr>
          <w:t xml:space="preserve">3] </w:t>
        </w:r>
      </w:hyperlink>
      <w:hyperlink r:id="rId28" w:tgtFrame="_blank">
        <w:bookmarkEnd w:id="17"/>
        <w:r>
          <w:rPr>
            <w:rFonts w:ascii="Helvetica" w:eastAsia="Times New Roman" w:hAnsi="Helvetica" w:cs="Helvetica"/>
            <w:color w:val="EC8823"/>
            <w:sz w:val="24"/>
            <w:szCs w:val="24"/>
            <w:lang w:eastAsia="nl-NL"/>
          </w:rPr>
          <w:t>Ethische Überlegungen zu vaccination Impfprogrammenin akutenhumanitären Nots</w:t>
        </w:r>
        <w:r>
          <w:rPr>
            <w:rFonts w:ascii="Helvetica" w:eastAsia="Times New Roman" w:hAnsi="Helvetica" w:cs="Helvetica"/>
            <w:color w:val="EC8823"/>
            <w:sz w:val="24"/>
            <w:szCs w:val="24"/>
            <w:lang w:eastAsia="nl-NL"/>
          </w:rPr>
          <w:t>ituationen</w:t>
        </w:r>
      </w:hyperlink>
      <w:r>
        <w:rPr>
          <w:rFonts w:ascii="Helvetica" w:eastAsia="Times New Roman" w:hAnsi="Helvetica" w:cs="Helvetica"/>
          <w:color w:val="000000"/>
          <w:sz w:val="24"/>
          <w:szCs w:val="24"/>
          <w:lang w:eastAsia="nl-NL"/>
        </w:rPr>
        <w:t xml:space="preserve">. WHO, Keymanthri Moodley </w:t>
      </w:r>
      <w:r>
        <w:rPr>
          <w:rFonts w:ascii="Helvetica" w:eastAsia="Times New Roman" w:hAnsi="Helvetica" w:cs="Helvetica"/>
          <w:i/>
          <w:iCs/>
          <w:color w:val="000000"/>
          <w:sz w:val="24"/>
          <w:szCs w:val="24"/>
          <w:lang w:eastAsia="nl-NL"/>
        </w:rPr>
        <w:t xml:space="preserve">et al. </w:t>
      </w:r>
      <w:r>
        <w:rPr>
          <w:rFonts w:ascii="Helvetica" w:eastAsia="Times New Roman" w:hAnsi="Helvetica" w:cs="Helvetica"/>
          <w:color w:val="000000"/>
          <w:sz w:val="24"/>
          <w:szCs w:val="24"/>
          <w:lang w:eastAsia="nl-NL"/>
        </w:rPr>
        <w:t xml:space="preserve">, </w:t>
      </w:r>
      <w:r>
        <w:rPr>
          <w:rFonts w:ascii="Helvetica" w:eastAsia="Times New Roman" w:hAnsi="Helvetica" w:cs="Helvetica"/>
          <w:i/>
          <w:iCs/>
          <w:color w:val="000000"/>
          <w:sz w:val="24"/>
          <w:szCs w:val="24"/>
          <w:lang w:eastAsia="nl-NL"/>
        </w:rPr>
        <w:t xml:space="preserve">Bull World Health Organ </w:t>
      </w:r>
      <w:r>
        <w:rPr>
          <w:rFonts w:ascii="Helvetica" w:eastAsia="Times New Roman" w:hAnsi="Helvetica" w:cs="Helvetica"/>
          <w:color w:val="000000"/>
          <w:sz w:val="24"/>
          <w:szCs w:val="24"/>
          <w:lang w:eastAsia="nl-NL"/>
        </w:rPr>
        <w:t>2013;91:290-297.</w:t>
      </w:r>
    </w:p>
    <w:p w14:paraId="015AE66C" w14:textId="77777777" w:rsidR="002C53C4" w:rsidRDefault="00E91CB4">
      <w:pPr>
        <w:shd w:val="clear" w:color="auto" w:fill="FFFFFF"/>
        <w:spacing w:after="0" w:line="240" w:lineRule="auto"/>
        <w:textAlignment w:val="baseline"/>
      </w:pPr>
      <w:bookmarkStart w:id="18" w:name="_ftn4"/>
      <w:r>
        <w:rPr>
          <w:rFonts w:ascii="Helvetica" w:eastAsia="Times New Roman" w:hAnsi="Helvetica" w:cs="Helvetica"/>
          <w:b/>
          <w:bCs/>
          <w:i/>
          <w:iCs/>
          <w:color w:val="000000"/>
          <w:sz w:val="24"/>
          <w:szCs w:val="24"/>
          <w:lang w:eastAsia="nl-NL"/>
        </w:rPr>
        <w:t>[</w:t>
      </w:r>
      <w:hyperlink r:id="rId29" w:anchor="_ftnref4" w:history="1">
        <w:r>
          <w:rPr>
            <w:rFonts w:ascii="Helvetica" w:eastAsia="Times New Roman" w:hAnsi="Helvetica" w:cs="Helvetica"/>
            <w:color w:val="EC8823"/>
            <w:sz w:val="24"/>
            <w:szCs w:val="24"/>
            <w:vertAlign w:val="superscript"/>
            <w:lang w:eastAsia="nl-NL"/>
          </w:rPr>
          <w:t xml:space="preserve">4] </w:t>
        </w:r>
      </w:hyperlink>
      <w:bookmarkEnd w:id="18"/>
      <w:r>
        <w:rPr>
          <w:rFonts w:ascii="Helvetica" w:eastAsia="Times New Roman" w:hAnsi="Helvetica" w:cs="Helvetica"/>
          <w:b/>
          <w:bCs/>
          <w:i/>
          <w:iCs/>
          <w:color w:val="000000"/>
          <w:sz w:val="24"/>
          <w:szCs w:val="24"/>
          <w:lang w:eastAsia="nl-NL"/>
        </w:rPr>
        <w:t>The Individual, Collective and Public Interest of Vaccination</w:t>
      </w:r>
      <w:r>
        <w:rPr>
          <w:rFonts w:ascii="Helvetica" w:eastAsia="Times New Roman" w:hAnsi="Helvetica" w:cs="Helvetica"/>
          <w:b/>
          <w:bCs/>
          <w:color w:val="000000"/>
          <w:sz w:val="24"/>
          <w:szCs w:val="24"/>
          <w:lang w:eastAsia="nl-NL"/>
        </w:rPr>
        <w:t xml:space="preserve">, </w:t>
      </w:r>
      <w:r>
        <w:rPr>
          <w:rFonts w:ascii="Helvetica" w:eastAsia="Times New Roman" w:hAnsi="Helvetica" w:cs="Helvetica"/>
          <w:color w:val="000000"/>
          <w:sz w:val="24"/>
          <w:szCs w:val="24"/>
          <w:lang w:eastAsia="nl-NL"/>
        </w:rPr>
        <w:t>Ges</w:t>
      </w:r>
      <w:r>
        <w:rPr>
          <w:rFonts w:ascii="Helvetica" w:eastAsia="Times New Roman" w:hAnsi="Helvetica" w:cs="Helvetica"/>
          <w:color w:val="000000"/>
          <w:sz w:val="24"/>
          <w:szCs w:val="24"/>
          <w:lang w:eastAsia="nl-NL"/>
        </w:rPr>
        <w:t>undheitsrat der Niederlande 2013, S. 52</w:t>
      </w:r>
    </w:p>
    <w:p w14:paraId="015AE66D" w14:textId="77777777" w:rsidR="002C53C4" w:rsidRDefault="00E91CB4">
      <w:pPr>
        <w:shd w:val="clear" w:color="auto" w:fill="FFFFFF"/>
        <w:spacing w:after="0" w:line="240" w:lineRule="auto"/>
        <w:textAlignment w:val="baseline"/>
      </w:pPr>
      <w:bookmarkStart w:id="19" w:name="_ftn5"/>
      <w:r>
        <w:rPr>
          <w:rFonts w:ascii="Helvetica" w:eastAsia="Times New Roman" w:hAnsi="Helvetica" w:cs="Helvetica"/>
          <w:color w:val="000000"/>
          <w:sz w:val="24"/>
          <w:szCs w:val="24"/>
          <w:lang w:eastAsia="nl-NL"/>
        </w:rPr>
        <w:t>[</w:t>
      </w:r>
      <w:hyperlink r:id="rId30" w:anchor="_ftnref5" w:history="1">
        <w:r>
          <w:rPr>
            <w:rFonts w:ascii="Helvetica" w:eastAsia="Times New Roman" w:hAnsi="Helvetica" w:cs="Helvetica"/>
            <w:color w:val="EC8823"/>
            <w:sz w:val="24"/>
            <w:szCs w:val="24"/>
            <w:vertAlign w:val="superscript"/>
            <w:lang w:eastAsia="nl-NL"/>
          </w:rPr>
          <w:t xml:space="preserve">5] </w:t>
        </w:r>
      </w:hyperlink>
      <w:bookmarkEnd w:id="19"/>
      <w:r>
        <w:rPr>
          <w:rFonts w:ascii="Helvetica" w:eastAsia="Times New Roman" w:hAnsi="Helvetica" w:cs="Helvetica"/>
          <w:color w:val="000000"/>
          <w:sz w:val="24"/>
          <w:szCs w:val="24"/>
          <w:lang w:eastAsia="nl-NL"/>
        </w:rPr>
        <w:t>Es liegt auf der Hand, dass möglicherweise andere, zusätzliche oder kumulative, äußere (atmosphärische Zusammens</w:t>
      </w:r>
      <w:r>
        <w:rPr>
          <w:rFonts w:ascii="Helvetica" w:eastAsia="Times New Roman" w:hAnsi="Helvetica" w:cs="Helvetica"/>
          <w:color w:val="000000"/>
          <w:sz w:val="24"/>
          <w:szCs w:val="24"/>
          <w:lang w:eastAsia="nl-NL"/>
        </w:rPr>
        <w:t xml:space="preserve">etzung oder radiative/elektromagnetische Bedingungen) oder innere (bakteriologische oder pathogene Kontamination) Ursachen, spezifische örtliche Bedingungen (Luftqualität und/oder Luftfeuchtigkeit) </w:t>
      </w:r>
      <w:r>
        <w:rPr>
          <w:rFonts w:ascii="Helvetica" w:eastAsia="Times New Roman" w:hAnsi="Helvetica" w:cs="Helvetica"/>
          <w:color w:val="000000"/>
          <w:sz w:val="24"/>
          <w:szCs w:val="24"/>
          <w:lang w:eastAsia="nl-NL"/>
        </w:rPr>
        <w:lastRenderedPageBreak/>
        <w:t>und "gruppenspezifische vorherige gemeinsame Nenner" (geli</w:t>
      </w:r>
      <w:r>
        <w:rPr>
          <w:rFonts w:ascii="Helvetica" w:eastAsia="Times New Roman" w:hAnsi="Helvetica" w:cs="Helvetica"/>
          <w:color w:val="000000"/>
          <w:sz w:val="24"/>
          <w:szCs w:val="24"/>
          <w:lang w:eastAsia="nl-NL"/>
        </w:rPr>
        <w:t>eferte Impfstoffchargen) eine Rolle spielen können, eine Rolle spielen und die SARS2-Symptome verschlimmern (Koinfektionen, virale Interferenz oder Kombination von impfstoffinduzierten XRMV-Retroviren), die sich von den normalen ARI-Symptomen unterscheiden</w:t>
      </w:r>
      <w:r>
        <w:rPr>
          <w:rFonts w:ascii="Helvetica" w:eastAsia="Times New Roman" w:hAnsi="Helvetica" w:cs="Helvetica"/>
          <w:color w:val="000000"/>
          <w:sz w:val="24"/>
          <w:szCs w:val="24"/>
          <w:lang w:eastAsia="nl-NL"/>
        </w:rPr>
        <w:t>, die durch verschiedene andere Coronaviridae verursacht werden. Solche Forschungen sind leider nicht durchgeführt worden, obwohl sie äußerst wichtig wären, auch im Hinblick auf die "zweite, dritte oder vierte Welle", in deren Folge eine proaktive Erforsch</w:t>
      </w:r>
      <w:r>
        <w:rPr>
          <w:rFonts w:ascii="Helvetica" w:eastAsia="Times New Roman" w:hAnsi="Helvetica" w:cs="Helvetica"/>
          <w:color w:val="000000"/>
          <w:sz w:val="24"/>
          <w:szCs w:val="24"/>
          <w:lang w:eastAsia="nl-NL"/>
        </w:rPr>
        <w:t>ung möglicher anderer und zusätzlicher Präventivmaßnahmen gerade erforderlich ist.</w:t>
      </w:r>
    </w:p>
    <w:p w14:paraId="015AE66E" w14:textId="77777777" w:rsidR="002C53C4" w:rsidRDefault="00E91CB4">
      <w:pPr>
        <w:shd w:val="clear" w:color="auto" w:fill="FFFFFF"/>
        <w:spacing w:after="0" w:line="240" w:lineRule="auto"/>
        <w:textAlignment w:val="baseline"/>
      </w:pPr>
      <w:hyperlink r:id="rId31" w:anchor="_ftnref6" w:history="1">
        <w:bookmarkStart w:id="20" w:name="_ftn6"/>
        <w:r>
          <w:rPr>
            <w:rFonts w:ascii="Helvetica" w:eastAsia="Times New Roman" w:hAnsi="Helvetica" w:cs="Helvetica"/>
            <w:color w:val="EC8823"/>
            <w:sz w:val="24"/>
            <w:szCs w:val="24"/>
            <w:vertAlign w:val="superscript"/>
            <w:lang w:eastAsia="nl-NL"/>
          </w:rPr>
          <w:t xml:space="preserve">[6] </w:t>
        </w:r>
      </w:hyperlink>
      <w:bookmarkEnd w:id="20"/>
      <w:r>
        <w:rPr>
          <w:rFonts w:ascii="Helvetica" w:eastAsia="Times New Roman" w:hAnsi="Helvetica" w:cs="Helvetica"/>
          <w:color w:val="000000"/>
          <w:sz w:val="24"/>
          <w:szCs w:val="24"/>
          <w:lang w:eastAsia="nl-NL"/>
        </w:rPr>
        <w:t>Siehe http//virustruth.nl/inform/kabinet-koos-versus-advice-conscious</w:t>
      </w:r>
      <w:r>
        <w:rPr>
          <w:rFonts w:ascii="Helvetica" w:eastAsia="Times New Roman" w:hAnsi="Helvetica" w:cs="Helvetica"/>
          <w:color w:val="000000"/>
          <w:sz w:val="24"/>
          <w:szCs w:val="24"/>
          <w:lang w:eastAsia="nl-NL"/>
        </w:rPr>
        <w:t>-for-castrophic-policy/</w:t>
      </w:r>
    </w:p>
    <w:p w14:paraId="015AE66F" w14:textId="77777777" w:rsidR="002C53C4" w:rsidRDefault="00E91CB4">
      <w:pPr>
        <w:shd w:val="clear" w:color="auto" w:fill="FFFFFF"/>
        <w:spacing w:after="0" w:line="240" w:lineRule="auto"/>
        <w:textAlignment w:val="baseline"/>
      </w:pPr>
      <w:hyperlink r:id="rId32" w:anchor="_ftnref7" w:history="1">
        <w:bookmarkStart w:id="21" w:name="_ftn7"/>
        <w:r>
          <w:rPr>
            <w:rFonts w:ascii="Helvetica" w:eastAsia="Times New Roman" w:hAnsi="Helvetica" w:cs="Helvetica"/>
            <w:color w:val="EC8823"/>
            <w:sz w:val="24"/>
            <w:szCs w:val="24"/>
            <w:vertAlign w:val="superscript"/>
            <w:lang w:eastAsia="nl-NL"/>
          </w:rPr>
          <w:t xml:space="preserve">[7] </w:t>
        </w:r>
      </w:hyperlink>
      <w:r>
        <w:rPr>
          <w:rFonts w:ascii="Helvetica" w:eastAsia="Times New Roman" w:hAnsi="Helvetica" w:cs="Helvetica"/>
          <w:b/>
          <w:bCs/>
          <w:i/>
          <w:iCs/>
          <w:color w:val="000000"/>
          <w:sz w:val="24"/>
          <w:szCs w:val="24"/>
          <w:lang w:eastAsia="nl-NL"/>
        </w:rPr>
        <w:t>Stellungnahme der RWP 2007</w:t>
      </w:r>
      <w:bookmarkEnd w:id="21"/>
      <w:r>
        <w:rPr>
          <w:rFonts w:ascii="Helvetica" w:eastAsia="Times New Roman" w:hAnsi="Helvetica" w:cs="Helvetica"/>
          <w:color w:val="000000"/>
          <w:sz w:val="24"/>
          <w:szCs w:val="24"/>
          <w:lang w:eastAsia="nl-NL"/>
        </w:rPr>
        <w:t xml:space="preserve">, </w:t>
      </w:r>
      <w:r>
        <w:rPr>
          <w:rFonts w:ascii="Helvetica" w:eastAsia="Times New Roman" w:hAnsi="Helvetica" w:cs="Helvetica"/>
          <w:i/>
          <w:iCs/>
          <w:color w:val="000000"/>
          <w:sz w:val="24"/>
          <w:szCs w:val="24"/>
          <w:lang w:eastAsia="nl-NL"/>
        </w:rPr>
        <w:t xml:space="preserve">op. cit. </w:t>
      </w:r>
      <w:r>
        <w:rPr>
          <w:rFonts w:ascii="Helvetica" w:eastAsia="Times New Roman" w:hAnsi="Helvetica" w:cs="Helvetica"/>
          <w:color w:val="000000"/>
          <w:sz w:val="24"/>
          <w:szCs w:val="24"/>
          <w:lang w:eastAsia="nl-NL"/>
        </w:rPr>
        <w:t>Abs. 6.2.2., S. 120.</w:t>
      </w:r>
    </w:p>
    <w:p w14:paraId="015AE670" w14:textId="77777777" w:rsidR="002C53C4" w:rsidRDefault="00E91CB4">
      <w:pPr>
        <w:shd w:val="clear" w:color="auto" w:fill="FFFFFF"/>
        <w:spacing w:after="0" w:line="240" w:lineRule="auto"/>
        <w:textAlignment w:val="baseline"/>
      </w:pPr>
      <w:bookmarkStart w:id="22" w:name="_ftn8"/>
      <w:r>
        <w:rPr>
          <w:rFonts w:ascii="Helvetica" w:eastAsia="Times New Roman" w:hAnsi="Helvetica" w:cs="Helvetica"/>
          <w:b/>
          <w:bCs/>
          <w:i/>
          <w:iCs/>
          <w:color w:val="000000"/>
          <w:sz w:val="24"/>
          <w:szCs w:val="24"/>
          <w:lang w:eastAsia="nl-NL"/>
        </w:rPr>
        <w:t>[</w:t>
      </w:r>
      <w:hyperlink r:id="rId33" w:anchor="_ftnref8" w:history="1">
        <w:r>
          <w:rPr>
            <w:rFonts w:ascii="Helvetica" w:eastAsia="Times New Roman" w:hAnsi="Helvetica" w:cs="Helvetica"/>
            <w:color w:val="EC8823"/>
            <w:sz w:val="24"/>
            <w:szCs w:val="24"/>
            <w:vertAlign w:val="superscript"/>
            <w:lang w:eastAsia="nl-NL"/>
          </w:rPr>
          <w:t xml:space="preserve">8] </w:t>
        </w:r>
      </w:hyperlink>
      <w:bookmarkEnd w:id="22"/>
      <w:r>
        <w:rPr>
          <w:rFonts w:ascii="Helvetica" w:eastAsia="Times New Roman" w:hAnsi="Helvetica" w:cs="Helvetica"/>
          <w:b/>
          <w:bCs/>
          <w:i/>
          <w:iCs/>
          <w:color w:val="000000"/>
          <w:sz w:val="24"/>
          <w:szCs w:val="24"/>
          <w:lang w:eastAsia="nl-NL"/>
        </w:rPr>
        <w:t>The Individual, Collective and Public Interest of Vaccination</w:t>
      </w:r>
      <w:r>
        <w:rPr>
          <w:rFonts w:ascii="Helvetica" w:eastAsia="Times New Roman" w:hAnsi="Helvetica" w:cs="Helvetica"/>
          <w:b/>
          <w:bCs/>
          <w:color w:val="000000"/>
          <w:sz w:val="24"/>
          <w:szCs w:val="24"/>
          <w:lang w:eastAsia="nl-NL"/>
        </w:rPr>
        <w:t xml:space="preserve">, </w:t>
      </w:r>
      <w:r>
        <w:rPr>
          <w:rFonts w:ascii="Helvetica" w:eastAsia="Times New Roman" w:hAnsi="Helvetica" w:cs="Helvetica"/>
          <w:color w:val="000000"/>
          <w:sz w:val="24"/>
          <w:szCs w:val="24"/>
          <w:lang w:eastAsia="nl-NL"/>
        </w:rPr>
        <w:t>Gesundheitsrat der Niederlande 2013, S. 58</w:t>
      </w:r>
    </w:p>
    <w:p w14:paraId="015AE671" w14:textId="77777777" w:rsidR="002C53C4" w:rsidRDefault="00E91CB4">
      <w:pPr>
        <w:shd w:val="clear" w:color="auto" w:fill="FFFFFF"/>
        <w:spacing w:after="0" w:line="240" w:lineRule="auto"/>
        <w:textAlignment w:val="baseline"/>
      </w:pPr>
      <w:bookmarkStart w:id="23" w:name="_ftn9"/>
      <w:r>
        <w:rPr>
          <w:rFonts w:ascii="Helvetica" w:eastAsia="Times New Roman" w:hAnsi="Helvetica" w:cs="Helvetica"/>
          <w:color w:val="000000"/>
          <w:sz w:val="24"/>
          <w:szCs w:val="24"/>
          <w:lang w:eastAsia="nl-NL"/>
        </w:rPr>
        <w:t>[</w:t>
      </w:r>
      <w:hyperlink r:id="rId34" w:anchor="_ftnref9" w:history="1">
        <w:r>
          <w:rPr>
            <w:rFonts w:ascii="Helvetica" w:eastAsia="Times New Roman" w:hAnsi="Helvetica" w:cs="Helvetica"/>
            <w:color w:val="EC8823"/>
            <w:sz w:val="24"/>
            <w:szCs w:val="24"/>
            <w:vertAlign w:val="superscript"/>
            <w:lang w:eastAsia="nl-NL"/>
          </w:rPr>
          <w:t xml:space="preserve">9] </w:t>
        </w:r>
      </w:hyperlink>
      <w:bookmarkEnd w:id="23"/>
      <w:r>
        <w:rPr>
          <w:rFonts w:ascii="Helvetica" w:eastAsia="Times New Roman" w:hAnsi="Helvetica" w:cs="Helvetica"/>
          <w:color w:val="000000"/>
          <w:sz w:val="24"/>
          <w:szCs w:val="24"/>
          <w:lang w:eastAsia="nl-NL"/>
        </w:rPr>
        <w:t>"Es ist üblich, aber unangemessen, die Wirksamkeit von Impfstoffen zu vergleichen und politische Entscheidungen ausschließlich auf der Grundlage der relativen Risikoreduktion (RRR) aus klinischen Studien mit u</w:t>
      </w:r>
      <w:r>
        <w:rPr>
          <w:rFonts w:ascii="Helvetica" w:eastAsia="Times New Roman" w:hAnsi="Helvetica" w:cs="Helvetica"/>
          <w:color w:val="000000"/>
          <w:sz w:val="24"/>
          <w:szCs w:val="24"/>
          <w:lang w:eastAsia="nl-NL"/>
        </w:rPr>
        <w:t>nterschiedlichen Protokollen in Populationen mit unterschiedlichem Hintergrundrisiko für COVID-19 zu treffen [...] beide sind erforderlich, um den erwarteten Effekt der Verringerung des COVID-19-Risikos durch Impfung auf individueller und Bevölkerungsebene</w:t>
      </w:r>
      <w:r>
        <w:rPr>
          <w:rFonts w:ascii="Helvetica" w:eastAsia="Times New Roman" w:hAnsi="Helvetica" w:cs="Helvetica"/>
          <w:color w:val="000000"/>
          <w:sz w:val="24"/>
          <w:szCs w:val="24"/>
          <w:lang w:eastAsia="nl-NL"/>
        </w:rPr>
        <w:t xml:space="preserve"> zu kontextualisieren. Wir sollten weitermachen: die politischen Entscheidungsträger, die Angehörigen der Gesundheitsberufe und die Öffentlichkeit darüber aufklären, wie jede dieser Maßnahmen dazu beiträgt, die tatsächlichen Auswirkungen von Impfstoffen zu</w:t>
      </w:r>
      <w:r>
        <w:rPr>
          <w:rFonts w:ascii="Helvetica" w:eastAsia="Times New Roman" w:hAnsi="Helvetica" w:cs="Helvetica"/>
          <w:color w:val="000000"/>
          <w:sz w:val="24"/>
          <w:szCs w:val="24"/>
          <w:lang w:eastAsia="nl-NL"/>
        </w:rPr>
        <w:t xml:space="preserve"> verstehen." In: </w:t>
      </w:r>
      <w:r>
        <w:rPr>
          <w:rFonts w:ascii="Helvetica" w:eastAsia="Times New Roman" w:hAnsi="Helvetica" w:cs="Helvetica"/>
          <w:b/>
          <w:bCs/>
          <w:i/>
          <w:iCs/>
          <w:color w:val="000000"/>
          <w:sz w:val="24"/>
          <w:szCs w:val="24"/>
          <w:lang w:eastAsia="nl-NL"/>
        </w:rPr>
        <w:t xml:space="preserve">COVID-19-Impfstoffe: Wirksamkeit und Anzahl der erforderlichen Behandlungen, </w:t>
      </w:r>
      <w:r>
        <w:rPr>
          <w:rFonts w:ascii="Helvetica" w:eastAsia="Times New Roman" w:hAnsi="Helvetica" w:cs="Helvetica"/>
          <w:color w:val="000000"/>
          <w:sz w:val="24"/>
          <w:szCs w:val="24"/>
          <w:lang w:eastAsia="nl-NL"/>
        </w:rPr>
        <w:t xml:space="preserve">P. Olliaro, </w:t>
      </w:r>
      <w:r>
        <w:rPr>
          <w:rFonts w:ascii="Helvetica" w:eastAsia="Times New Roman" w:hAnsi="Helvetica" w:cs="Helvetica"/>
          <w:i/>
          <w:iCs/>
          <w:color w:val="000000"/>
          <w:sz w:val="24"/>
          <w:szCs w:val="24"/>
          <w:lang w:eastAsia="nl-NL"/>
        </w:rPr>
        <w:t xml:space="preserve">et al. </w:t>
      </w:r>
      <w:r>
        <w:rPr>
          <w:rFonts w:ascii="Helvetica" w:eastAsia="Times New Roman" w:hAnsi="Helvetica" w:cs="Helvetica"/>
          <w:color w:val="000000"/>
          <w:sz w:val="24"/>
          <w:szCs w:val="24"/>
          <w:lang w:eastAsia="nl-NL"/>
        </w:rPr>
        <w:t>Lancet Microbe, 2021 Jul; 2(7): e282, https://www.ncbi.nlm.nih.gov/pmc/articles/PMC8121497/.</w:t>
      </w:r>
    </w:p>
    <w:p w14:paraId="015AE672" w14:textId="77777777" w:rsidR="002C53C4" w:rsidRDefault="00E91CB4">
      <w:pPr>
        <w:shd w:val="clear" w:color="auto" w:fill="FFFFFF"/>
        <w:spacing w:after="0" w:line="240" w:lineRule="auto"/>
        <w:textAlignment w:val="baseline"/>
      </w:pPr>
      <w:hyperlink r:id="rId35" w:anchor="_ftnref10" w:history="1">
        <w:bookmarkStart w:id="24" w:name="_ftn10"/>
        <w:r>
          <w:rPr>
            <w:rFonts w:ascii="Helvetica" w:eastAsia="Times New Roman" w:hAnsi="Helvetica" w:cs="Helvetica"/>
            <w:color w:val="EC8823"/>
            <w:sz w:val="24"/>
            <w:szCs w:val="24"/>
            <w:vertAlign w:val="superscript"/>
            <w:lang w:eastAsia="nl-NL"/>
          </w:rPr>
          <w:t xml:space="preserve">[10] </w:t>
        </w:r>
      </w:hyperlink>
      <w:bookmarkEnd w:id="24"/>
      <w:r>
        <w:rPr>
          <w:rFonts w:ascii="Helvetica" w:eastAsia="Times New Roman" w:hAnsi="Helvetica" w:cs="Helvetica"/>
          <w:color w:val="000000"/>
          <w:sz w:val="24"/>
          <w:szCs w:val="24"/>
          <w:lang w:eastAsia="nl-NL"/>
        </w:rPr>
        <w:t>Ebd.</w:t>
      </w:r>
    </w:p>
    <w:p w14:paraId="015AE673" w14:textId="77777777" w:rsidR="002C53C4" w:rsidRDefault="00E91CB4">
      <w:pPr>
        <w:shd w:val="clear" w:color="auto" w:fill="FFFFFF"/>
        <w:spacing w:after="0" w:line="240" w:lineRule="auto"/>
        <w:textAlignment w:val="baseline"/>
      </w:pPr>
      <w:hyperlink r:id="rId36" w:anchor="_ftnref11" w:history="1">
        <w:bookmarkStart w:id="25" w:name="_ftn11"/>
        <w:r>
          <w:rPr>
            <w:rFonts w:ascii="Helvetica" w:eastAsia="Times New Roman" w:hAnsi="Helvetica" w:cs="Helvetica"/>
            <w:color w:val="EC8823"/>
            <w:sz w:val="24"/>
            <w:szCs w:val="24"/>
            <w:vertAlign w:val="superscript"/>
            <w:lang w:eastAsia="nl-NL"/>
          </w:rPr>
          <w:t xml:space="preserve">[11] </w:t>
        </w:r>
      </w:hyperlink>
      <w:bookmarkEnd w:id="25"/>
      <w:r>
        <w:rPr>
          <w:rFonts w:ascii="Helvetica" w:eastAsia="Times New Roman" w:hAnsi="Helvetica" w:cs="Helvetica"/>
          <w:b/>
          <w:bCs/>
          <w:i/>
          <w:iCs/>
          <w:color w:val="000000"/>
          <w:sz w:val="24"/>
          <w:szCs w:val="24"/>
          <w:lang w:eastAsia="nl-NL"/>
        </w:rPr>
        <w:t>Werden Covid-19-Impfstoffe Leben retten? Current trials aren't designed to tell us</w:t>
      </w:r>
      <w:r>
        <w:rPr>
          <w:rFonts w:ascii="Helvetica" w:eastAsia="Times New Roman" w:hAnsi="Helvetica" w:cs="Helvetica"/>
          <w:i/>
          <w:iCs/>
          <w:color w:val="000000"/>
          <w:sz w:val="24"/>
          <w:szCs w:val="24"/>
          <w:lang w:eastAsia="nl-NL"/>
        </w:rPr>
        <w:t>, op.ci</w:t>
      </w:r>
      <w:r>
        <w:rPr>
          <w:rFonts w:ascii="Helvetica" w:eastAsia="Times New Roman" w:hAnsi="Helvetica" w:cs="Helvetica"/>
          <w:i/>
          <w:iCs/>
          <w:color w:val="000000"/>
          <w:sz w:val="24"/>
          <w:szCs w:val="24"/>
          <w:lang w:eastAsia="nl-NL"/>
        </w:rPr>
        <w:t xml:space="preserve">t.BMJ </w:t>
      </w:r>
      <w:r>
        <w:rPr>
          <w:rFonts w:ascii="Helvetica" w:eastAsia="Times New Roman" w:hAnsi="Helvetica" w:cs="Helvetica"/>
          <w:color w:val="000000"/>
          <w:sz w:val="24"/>
          <w:szCs w:val="24"/>
          <w:lang w:eastAsia="nl-NL"/>
        </w:rPr>
        <w:t xml:space="preserve">2020; 371 doi: </w:t>
      </w:r>
      <w:hyperlink r:id="rId37" w:tgtFrame="_blank">
        <w:r>
          <w:rPr>
            <w:rFonts w:ascii="Helvetica" w:eastAsia="Times New Roman" w:hAnsi="Helvetica" w:cs="Helvetica"/>
            <w:color w:val="EC8823"/>
            <w:sz w:val="24"/>
            <w:szCs w:val="24"/>
            <w:lang w:eastAsia="nl-NL"/>
          </w:rPr>
          <w:t>https://doi.org/10.1136/bmj.m4037</w:t>
        </w:r>
      </w:hyperlink>
    </w:p>
    <w:p w14:paraId="015AE674" w14:textId="77777777" w:rsidR="002C53C4" w:rsidRDefault="00E91CB4">
      <w:pPr>
        <w:shd w:val="clear" w:color="auto" w:fill="FFFFFF"/>
        <w:spacing w:after="0" w:line="240" w:lineRule="auto"/>
        <w:textAlignment w:val="baseline"/>
      </w:pPr>
      <w:bookmarkStart w:id="26" w:name="_ftn12"/>
      <w:r>
        <w:rPr>
          <w:rFonts w:ascii="Helvetica" w:eastAsia="Times New Roman" w:hAnsi="Helvetica" w:cs="Helvetica"/>
          <w:i/>
          <w:iCs/>
          <w:color w:val="000000"/>
          <w:sz w:val="24"/>
          <w:szCs w:val="24"/>
          <w:lang w:eastAsia="nl-NL"/>
        </w:rPr>
        <w:t>[</w:t>
      </w:r>
      <w:hyperlink r:id="rId38" w:anchor="_ftnref12" w:history="1">
        <w:r>
          <w:rPr>
            <w:rFonts w:ascii="Helvetica" w:eastAsia="Times New Roman" w:hAnsi="Helvetica" w:cs="Helvetica"/>
            <w:color w:val="EC8823"/>
            <w:sz w:val="24"/>
            <w:szCs w:val="24"/>
            <w:vertAlign w:val="superscript"/>
            <w:lang w:eastAsia="nl-NL"/>
          </w:rPr>
          <w:t xml:space="preserve">12] </w:t>
        </w:r>
      </w:hyperlink>
      <w:bookmarkEnd w:id="26"/>
      <w:r>
        <w:rPr>
          <w:rFonts w:ascii="Helvetica" w:eastAsia="Times New Roman" w:hAnsi="Helvetica" w:cs="Helvetica"/>
          <w:color w:val="000000"/>
          <w:sz w:val="24"/>
          <w:szCs w:val="24"/>
          <w:lang w:eastAsia="nl-NL"/>
        </w:rPr>
        <w:t xml:space="preserve">Global Advocacy to HIV prevention, </w:t>
      </w:r>
      <w:r>
        <w:rPr>
          <w:rFonts w:ascii="Helvetica" w:eastAsia="Times New Roman" w:hAnsi="Helvetica" w:cs="Helvetica"/>
          <w:i/>
          <w:iCs/>
          <w:color w:val="000000"/>
          <w:sz w:val="24"/>
          <w:szCs w:val="24"/>
          <w:lang w:eastAsia="nl-NL"/>
        </w:rPr>
        <w:t>the risks and benefits of expedited COVID-19 vaccine research, www.avac.org</w:t>
      </w:r>
    </w:p>
    <w:p w14:paraId="015AE675" w14:textId="77777777" w:rsidR="002C53C4" w:rsidRDefault="00E91CB4">
      <w:pPr>
        <w:shd w:val="clear" w:color="auto" w:fill="FFFFFF"/>
        <w:spacing w:after="0" w:line="240" w:lineRule="auto"/>
        <w:textAlignment w:val="baseline"/>
      </w:pPr>
      <w:bookmarkStart w:id="27" w:name="_ftn13"/>
      <w:r>
        <w:rPr>
          <w:rFonts w:ascii="Helvetica" w:eastAsia="Times New Roman" w:hAnsi="Helvetica" w:cs="Helvetica"/>
          <w:color w:val="000000"/>
          <w:sz w:val="24"/>
          <w:szCs w:val="24"/>
          <w:lang w:eastAsia="nl-NL"/>
        </w:rPr>
        <w:t>[</w:t>
      </w:r>
      <w:hyperlink r:id="rId39" w:anchor="_ftnref13" w:history="1">
        <w:r>
          <w:rPr>
            <w:rFonts w:ascii="Helvetica" w:eastAsia="Times New Roman" w:hAnsi="Helvetica" w:cs="Helvetica"/>
            <w:color w:val="EC8823"/>
            <w:sz w:val="24"/>
            <w:szCs w:val="24"/>
            <w:vertAlign w:val="superscript"/>
            <w:lang w:eastAsia="nl-NL"/>
          </w:rPr>
          <w:t xml:space="preserve">13] </w:t>
        </w:r>
      </w:hyperlink>
      <w:bookmarkEnd w:id="27"/>
      <w:r>
        <w:rPr>
          <w:rFonts w:ascii="Helvetica" w:eastAsia="Times New Roman" w:hAnsi="Helvetica" w:cs="Helvetica"/>
          <w:color w:val="000000"/>
          <w:sz w:val="24"/>
          <w:szCs w:val="24"/>
          <w:lang w:eastAsia="nl-NL"/>
        </w:rPr>
        <w:t>BioNTech SE Quartalsbericht über die drei und neun Monate zum 30. September 2020, S. 68</w:t>
      </w:r>
    </w:p>
    <w:p w14:paraId="015AE676" w14:textId="77777777" w:rsidR="002C53C4" w:rsidRDefault="00E91CB4">
      <w:pPr>
        <w:shd w:val="clear" w:color="auto" w:fill="FFFFFF"/>
        <w:spacing w:after="0" w:line="240" w:lineRule="auto"/>
        <w:textAlignment w:val="baseline"/>
      </w:pPr>
      <w:hyperlink r:id="rId40" w:anchor="_ftnref14" w:history="1">
        <w:bookmarkStart w:id="28" w:name="_ftn14"/>
        <w:r>
          <w:rPr>
            <w:rFonts w:ascii="Helvetica" w:eastAsia="Times New Roman" w:hAnsi="Helvetica" w:cs="Helvetica"/>
            <w:color w:val="EC8823"/>
            <w:sz w:val="24"/>
            <w:szCs w:val="24"/>
            <w:vertAlign w:val="superscript"/>
            <w:lang w:eastAsia="nl-NL"/>
          </w:rPr>
          <w:t xml:space="preserve">[14] </w:t>
        </w:r>
      </w:hyperlink>
      <w:bookmarkEnd w:id="28"/>
      <w:r>
        <w:rPr>
          <w:rFonts w:ascii="Helvetica" w:eastAsia="Times New Roman" w:hAnsi="Helvetica" w:cs="Helvetica"/>
          <w:color w:val="000000"/>
          <w:sz w:val="24"/>
          <w:szCs w:val="24"/>
          <w:lang w:eastAsia="nl-NL"/>
        </w:rPr>
        <w:t>Zie: h</w:t>
      </w:r>
      <w:r>
        <w:rPr>
          <w:rFonts w:ascii="Helvetica" w:eastAsia="Times New Roman" w:hAnsi="Helvetica" w:cs="Helvetica"/>
          <w:color w:val="000000"/>
          <w:sz w:val="24"/>
          <w:szCs w:val="24"/>
          <w:lang w:eastAsia="nl-NL"/>
        </w:rPr>
        <w:t>ttps://www.medrxiv.org/content/10.1101/2021.07.07.21259779v1.full.pdf</w:t>
      </w:r>
    </w:p>
    <w:p w14:paraId="015AE677" w14:textId="77777777" w:rsidR="002C53C4" w:rsidRDefault="00E91CB4">
      <w:pPr>
        <w:shd w:val="clear" w:color="auto" w:fill="FFFFFF"/>
        <w:spacing w:after="0" w:line="240" w:lineRule="auto"/>
        <w:textAlignment w:val="baseline"/>
      </w:pPr>
      <w:hyperlink r:id="rId41" w:anchor="_ftnref15" w:history="1">
        <w:bookmarkStart w:id="29" w:name="_ftn15"/>
        <w:r>
          <w:rPr>
            <w:rFonts w:ascii="Helvetica" w:eastAsia="Times New Roman" w:hAnsi="Helvetica" w:cs="Helvetica"/>
            <w:color w:val="EC8823"/>
            <w:sz w:val="24"/>
            <w:szCs w:val="24"/>
            <w:vertAlign w:val="superscript"/>
            <w:lang w:eastAsia="nl-NL"/>
          </w:rPr>
          <w:t xml:space="preserve">[15] </w:t>
        </w:r>
      </w:hyperlink>
      <w:bookmarkEnd w:id="29"/>
      <w:r>
        <w:rPr>
          <w:rFonts w:ascii="Helvetica" w:eastAsia="Times New Roman" w:hAnsi="Helvetica" w:cs="Helvetica"/>
          <w:color w:val="000000"/>
          <w:sz w:val="24"/>
          <w:szCs w:val="24"/>
          <w:lang w:eastAsia="nl-NL"/>
        </w:rPr>
        <w:t xml:space="preserve">Walach, H.; Klement, R.J.; Aukema, W. The Safety of COVID-19 Vaccinations-We </w:t>
      </w:r>
      <w:r>
        <w:rPr>
          <w:rFonts w:ascii="Helvetica" w:eastAsia="Times New Roman" w:hAnsi="Helvetica" w:cs="Helvetica"/>
          <w:b/>
          <w:bCs/>
          <w:color w:val="000000"/>
          <w:sz w:val="24"/>
          <w:szCs w:val="24"/>
          <w:lang w:eastAsia="nl-NL"/>
        </w:rPr>
        <w:t>Sho</w:t>
      </w:r>
      <w:r>
        <w:rPr>
          <w:rFonts w:ascii="Helvetica" w:eastAsia="Times New Roman" w:hAnsi="Helvetica" w:cs="Helvetica"/>
          <w:b/>
          <w:bCs/>
          <w:color w:val="000000"/>
          <w:sz w:val="24"/>
          <w:szCs w:val="24"/>
          <w:lang w:eastAsia="nl-NL"/>
        </w:rPr>
        <w:t>uld Rethink the Policy. Vaccines 2021</w:t>
      </w:r>
      <w:r>
        <w:rPr>
          <w:rFonts w:ascii="Helvetica" w:eastAsia="Times New Roman" w:hAnsi="Helvetica" w:cs="Helvetica"/>
          <w:color w:val="000000"/>
          <w:sz w:val="24"/>
          <w:szCs w:val="24"/>
          <w:lang w:eastAsia="nl-NL"/>
        </w:rPr>
        <w:t>, 9, 693. https://doi.org/10.3390/vaccines9070693</w:t>
      </w:r>
    </w:p>
    <w:p w14:paraId="015AE678" w14:textId="77777777" w:rsidR="002C53C4" w:rsidRDefault="00E91CB4">
      <w:pPr>
        <w:shd w:val="clear" w:color="auto" w:fill="FFFFFF"/>
        <w:spacing w:after="0" w:line="240" w:lineRule="auto"/>
        <w:textAlignment w:val="baseline"/>
      </w:pPr>
      <w:hyperlink r:id="rId42" w:anchor="_ftnref16" w:history="1">
        <w:bookmarkStart w:id="30" w:name="_ftn16"/>
        <w:r>
          <w:rPr>
            <w:rFonts w:ascii="Helvetica" w:eastAsia="Times New Roman" w:hAnsi="Helvetica" w:cs="Helvetica"/>
            <w:color w:val="EC8823"/>
            <w:sz w:val="24"/>
            <w:szCs w:val="24"/>
            <w:vertAlign w:val="superscript"/>
            <w:lang w:eastAsia="nl-NL"/>
          </w:rPr>
          <w:t xml:space="preserve">[16] </w:t>
        </w:r>
      </w:hyperlink>
      <w:bookmarkEnd w:id="30"/>
      <w:r>
        <w:rPr>
          <w:rFonts w:ascii="Helvetica" w:eastAsia="Times New Roman" w:hAnsi="Helvetica" w:cs="Helvetica"/>
          <w:b/>
          <w:bCs/>
          <w:i/>
          <w:iCs/>
          <w:color w:val="000000"/>
          <w:sz w:val="24"/>
          <w:szCs w:val="24"/>
          <w:lang w:eastAsia="nl-NL"/>
        </w:rPr>
        <w:t>Gutachten 2007 der RWP</w:t>
      </w:r>
      <w:r>
        <w:rPr>
          <w:rFonts w:ascii="Helvetica" w:eastAsia="Times New Roman" w:hAnsi="Helvetica" w:cs="Helvetica"/>
          <w:color w:val="000000"/>
          <w:sz w:val="24"/>
          <w:szCs w:val="24"/>
          <w:lang w:eastAsia="nl-NL"/>
        </w:rPr>
        <w:t>, S. 121 ff.</w:t>
      </w:r>
    </w:p>
    <w:p w14:paraId="015AE679" w14:textId="77777777" w:rsidR="002C53C4" w:rsidRDefault="00E91CB4">
      <w:pPr>
        <w:shd w:val="clear" w:color="auto" w:fill="FFFFFF"/>
        <w:spacing w:after="0" w:line="240" w:lineRule="auto"/>
        <w:textAlignment w:val="baseline"/>
        <w:rPr>
          <w:rFonts w:ascii="Helvetica" w:eastAsia="Times New Roman" w:hAnsi="Helvetica" w:cs="Helvetica"/>
          <w:color w:val="000000"/>
          <w:sz w:val="24"/>
          <w:szCs w:val="24"/>
          <w:lang w:eastAsia="nl-NL"/>
        </w:rPr>
      </w:pPr>
      <w:hyperlink r:id="rId43" w:anchor="_ftnref17" w:history="1">
        <w:bookmarkStart w:id="31" w:name="_ftn17"/>
        <w:r>
          <w:rPr>
            <w:rFonts w:ascii="Helvetica" w:eastAsia="Times New Roman" w:hAnsi="Helvetica" w:cs="Helvetica"/>
            <w:color w:val="EC8823"/>
            <w:sz w:val="24"/>
            <w:szCs w:val="24"/>
            <w:vertAlign w:val="superscript"/>
            <w:lang w:eastAsia="nl-NL"/>
          </w:rPr>
          <w:t xml:space="preserve">[17] </w:t>
        </w:r>
      </w:hyperlink>
      <w:bookmarkEnd w:id="31"/>
      <w:r>
        <w:rPr>
          <w:rFonts w:ascii="Helvetica" w:eastAsia="Times New Roman" w:hAnsi="Helvetica" w:cs="Helvetica"/>
          <w:b/>
          <w:bCs/>
          <w:i/>
          <w:iCs/>
          <w:color w:val="000000"/>
          <w:sz w:val="24"/>
          <w:szCs w:val="24"/>
          <w:lang w:eastAsia="nl-NL"/>
        </w:rPr>
        <w:t>Gutachten 2007 der RWP</w:t>
      </w:r>
      <w:r>
        <w:rPr>
          <w:rFonts w:ascii="Helvetica" w:eastAsia="Times New Roman" w:hAnsi="Helvetica" w:cs="Helvetica"/>
          <w:color w:val="000000"/>
          <w:sz w:val="24"/>
          <w:szCs w:val="24"/>
          <w:lang w:eastAsia="nl-NL"/>
        </w:rPr>
        <w:t>, S. 121 ff.</w:t>
      </w:r>
      <w:bookmarkEnd w:id="15"/>
    </w:p>
    <w:sectPr w:rsidR="002C53C4">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15910"/>
    <w:multiLevelType w:val="multilevel"/>
    <w:tmpl w:val="FADECB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 w15:restartNumberingAfterBreak="0">
    <w:nsid w:val="50F638FE"/>
    <w:multiLevelType w:val="multilevel"/>
    <w:tmpl w:val="618E02E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2" w15:restartNumberingAfterBreak="0">
    <w:nsid w:val="7C790684"/>
    <w:multiLevelType w:val="multilevel"/>
    <w:tmpl w:val="68FACE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3C4"/>
    <w:rsid w:val="002C53C4"/>
    <w:rsid w:val="00E91CB4"/>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AE5DF"/>
  <w15:docId w15:val="{B90234E5-DFA1-4892-83A9-D9489E9E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rPr>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nternetverknpfung">
    <w:name w:val="Internetverknüpfung"/>
    <w:rPr>
      <w:color w:val="000080"/>
      <w:u w:val="single"/>
      <w:lang/>
    </w:rPr>
  </w:style>
  <w:style w:type="paragraph" w:customStyle="1" w:styleId="berschrift">
    <w:name w:val="Überschrift"/>
    <w:basedOn w:val="Standaard"/>
    <w:next w:val="Plattetekst"/>
    <w:qFormat/>
    <w:pPr>
      <w:keepNext/>
      <w:spacing w:before="240" w:after="120"/>
    </w:pPr>
    <w:rPr>
      <w:rFonts w:ascii="Calibri" w:eastAsia="Arial Unicode MS" w:hAnsi="Calibri" w:cs="Lucida Sans"/>
      <w:sz w:val="28"/>
      <w:szCs w:val="28"/>
    </w:rPr>
  </w:style>
  <w:style w:type="paragraph" w:styleId="Plattetekst">
    <w:name w:val="Body Text"/>
    <w:basedOn w:val="Standaard"/>
    <w:pPr>
      <w:spacing w:after="140" w:line="276" w:lineRule="auto"/>
    </w:pPr>
  </w:style>
  <w:style w:type="paragraph" w:styleId="Lijst">
    <w:name w:val="List"/>
    <w:basedOn w:val="Plattetekst"/>
    <w:rPr>
      <w:rFonts w:ascii="Calibri" w:hAnsi="Calibri" w:cs="Lucida Sans"/>
    </w:rPr>
  </w:style>
  <w:style w:type="paragraph" w:styleId="Bijschrift">
    <w:name w:val="caption"/>
    <w:basedOn w:val="Standaard"/>
    <w:qFormat/>
    <w:pPr>
      <w:suppressLineNumbers/>
      <w:spacing w:before="120" w:after="120"/>
    </w:pPr>
    <w:rPr>
      <w:rFonts w:ascii="Calibri" w:hAnsi="Calibri" w:cs="Lucida Sans"/>
      <w:i/>
      <w:iCs/>
      <w:sz w:val="24"/>
      <w:szCs w:val="24"/>
    </w:rPr>
  </w:style>
  <w:style w:type="paragraph" w:customStyle="1" w:styleId="Verzeichnis">
    <w:name w:val="Verzeichnis"/>
    <w:basedOn w:val="Standaard"/>
    <w:qFormat/>
    <w:pPr>
      <w:suppressLineNumbers/>
    </w:pPr>
    <w:rPr>
      <w:rFonts w:ascii="Calibri" w:hAnsi="Calibri"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viruswaarheid.nl/juridisch/sommatiebrief-leden-gezondheidsraad/" TargetMode="External"/><Relationship Id="rId18" Type="http://schemas.openxmlformats.org/officeDocument/2006/relationships/hyperlink" Target="https://viruswaarheid.nl/juridisch/sommatiebrief-leden-gezondheidsraad/" TargetMode="External"/><Relationship Id="rId26" Type="http://schemas.openxmlformats.org/officeDocument/2006/relationships/hyperlink" Target="https://www.gezondheidsraad.nl/documenten/adviezen/2007/03/07/de-toekomst-van-het-rijksvaccinatieprogramma-naar-een-programma-voor-alle-leeftijden" TargetMode="External"/><Relationship Id="rId39" Type="http://schemas.openxmlformats.org/officeDocument/2006/relationships/hyperlink" Target="https://viruswaarheid.nl/juridisch/sommatiebrief-leden-gezondheidsraad/" TargetMode="External"/><Relationship Id="rId21" Type="http://schemas.openxmlformats.org/officeDocument/2006/relationships/hyperlink" Target="https://viruswaarheid.nl/juridisch/sommatiebrief-leden-gezondheidsraad/" TargetMode="External"/><Relationship Id="rId34" Type="http://schemas.openxmlformats.org/officeDocument/2006/relationships/hyperlink" Target="https://viruswaarheid.nl/juridisch/sommatiebrief-leden-gezondheidsraad/" TargetMode="External"/><Relationship Id="rId42" Type="http://schemas.openxmlformats.org/officeDocument/2006/relationships/hyperlink" Target="https://viruswaarheid.nl/juridisch/sommatiebrief-leden-gezondheidsraad/" TargetMode="External"/><Relationship Id="rId7" Type="http://schemas.openxmlformats.org/officeDocument/2006/relationships/hyperlink" Target="https://viruswaarheid.nl/juridisch/sommatiebrief-leden-gezondheidsraad/" TargetMode="External"/><Relationship Id="rId2" Type="http://schemas.openxmlformats.org/officeDocument/2006/relationships/styles" Target="styles.xml"/><Relationship Id="rId16" Type="http://schemas.openxmlformats.org/officeDocument/2006/relationships/hyperlink" Target="https://viruswaarheid.nl/juridisch/sommatiebrief-leden-gezondheidsraad/" TargetMode="External"/><Relationship Id="rId29" Type="http://schemas.openxmlformats.org/officeDocument/2006/relationships/hyperlink" Target="https://viruswaarheid.nl/juridisch/sommatiebrief-leden-gezondheidsraad/" TargetMode="External"/><Relationship Id="rId1" Type="http://schemas.openxmlformats.org/officeDocument/2006/relationships/numbering" Target="numbering.xml"/><Relationship Id="rId6" Type="http://schemas.openxmlformats.org/officeDocument/2006/relationships/hyperlink" Target="https://viruswaarheid.nl/juridisch/sommatiebrief-leden-gezondheidsraad/" TargetMode="External"/><Relationship Id="rId11" Type="http://schemas.openxmlformats.org/officeDocument/2006/relationships/hyperlink" Target="https://viruswaarheid.nl/juridisch/sommatiebrief-leden-gezondheidsraad/" TargetMode="External"/><Relationship Id="rId24" Type="http://schemas.openxmlformats.org/officeDocument/2006/relationships/hyperlink" Target="https://www.gezondheidsraad.nl/documenten/adviezen/2007/03/07/de-toekomst-van-het-rijksvaccinatieprogramma-naar-een-programma-voor-alle-leeftijden" TargetMode="External"/><Relationship Id="rId32" Type="http://schemas.openxmlformats.org/officeDocument/2006/relationships/hyperlink" Target="https://viruswaarheid.nl/juridisch/sommatiebrief-leden-gezondheidsraad/" TargetMode="External"/><Relationship Id="rId37" Type="http://schemas.openxmlformats.org/officeDocument/2006/relationships/hyperlink" Target="https://doi.org/10.1136/bmj.m4037" TargetMode="External"/><Relationship Id="rId40" Type="http://schemas.openxmlformats.org/officeDocument/2006/relationships/hyperlink" Target="https://viruswaarheid.nl/juridisch/sommatiebrief-leden-gezondheidsraad/" TargetMode="External"/><Relationship Id="rId45" Type="http://schemas.openxmlformats.org/officeDocument/2006/relationships/theme" Target="theme/theme1.xml"/><Relationship Id="rId5" Type="http://schemas.openxmlformats.org/officeDocument/2006/relationships/hyperlink" Target="https://viruswaarheid.nl/juridisch/sommatiebrief-leden-gezondheidsraad/" TargetMode="External"/><Relationship Id="rId15" Type="http://schemas.openxmlformats.org/officeDocument/2006/relationships/hyperlink" Target="https://viruswaarheid.nl/juridisch/sommatiebrief-leden-gezondheidsraad/" TargetMode="External"/><Relationship Id="rId23" Type="http://schemas.openxmlformats.org/officeDocument/2006/relationships/hyperlink" Target="https://viruswaarheid.nl/juridisch/sommatiebrief-leden-gezondheidsraad/" TargetMode="External"/><Relationship Id="rId28" Type="http://schemas.openxmlformats.org/officeDocument/2006/relationships/hyperlink" Target="https://www.who.int/bulletin/volumes/91/4/12-113480.pdf" TargetMode="External"/><Relationship Id="rId36" Type="http://schemas.openxmlformats.org/officeDocument/2006/relationships/hyperlink" Target="https://viruswaarheid.nl/juridisch/sommatiebrief-leden-gezondheidsraad/" TargetMode="External"/><Relationship Id="rId10" Type="http://schemas.openxmlformats.org/officeDocument/2006/relationships/hyperlink" Target="https://viruswaarheid.nl/juridisch/sommatiebrief-leden-gezondheidsraad/" TargetMode="External"/><Relationship Id="rId19" Type="http://schemas.openxmlformats.org/officeDocument/2006/relationships/hyperlink" Target="https://viruswaarheid.nl/juridisch/sommatiebrief-leden-gezondheidsraad/" TargetMode="External"/><Relationship Id="rId31" Type="http://schemas.openxmlformats.org/officeDocument/2006/relationships/hyperlink" Target="https://viruswaarheid.nl/juridisch/sommatiebrief-leden-gezondheidsraad/"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ruswaarheid.nl/juridisch/sommatiebrief-leden-gezondheidsraad/" TargetMode="External"/><Relationship Id="rId14" Type="http://schemas.openxmlformats.org/officeDocument/2006/relationships/hyperlink" Target="https://viruswaarheid.nl/juridisch/sommatiebrief-leden-gezondheidsraad/" TargetMode="External"/><Relationship Id="rId22" Type="http://schemas.openxmlformats.org/officeDocument/2006/relationships/hyperlink" Target="https://viruswaarheid.nl/juridisch/sommatiebrief-leden-gezondheidsraad/" TargetMode="External"/><Relationship Id="rId27" Type="http://schemas.openxmlformats.org/officeDocument/2006/relationships/hyperlink" Target="https://viruswaarheid.nl/juridisch/sommatiebrief-leden-gezondheidsraad/" TargetMode="External"/><Relationship Id="rId30" Type="http://schemas.openxmlformats.org/officeDocument/2006/relationships/hyperlink" Target="https://viruswaarheid.nl/juridisch/sommatiebrief-leden-gezondheidsraad/" TargetMode="External"/><Relationship Id="rId35" Type="http://schemas.openxmlformats.org/officeDocument/2006/relationships/hyperlink" Target="https://viruswaarheid.nl/juridisch/sommatiebrief-leden-gezondheidsraad/" TargetMode="External"/><Relationship Id="rId43" Type="http://schemas.openxmlformats.org/officeDocument/2006/relationships/hyperlink" Target="https://viruswaarheid.nl/juridisch/sommatiebrief-leden-gezondheidsraad/" TargetMode="External"/><Relationship Id="rId8" Type="http://schemas.openxmlformats.org/officeDocument/2006/relationships/hyperlink" Target="https://viruswaarheid.nl/juridisch/sommatiebrief-leden-gezondheidsraad/" TargetMode="External"/><Relationship Id="rId3" Type="http://schemas.openxmlformats.org/officeDocument/2006/relationships/settings" Target="settings.xml"/><Relationship Id="rId12" Type="http://schemas.openxmlformats.org/officeDocument/2006/relationships/hyperlink" Target="https://viruswaarheid.nl/juridisch/sommatiebrief-leden-gezondheidsraad/" TargetMode="External"/><Relationship Id="rId17" Type="http://schemas.openxmlformats.org/officeDocument/2006/relationships/hyperlink" Target="https://viruswaarheid.nl/juridisch/sommatiebrief-leden-gezondheidsraad/" TargetMode="External"/><Relationship Id="rId25" Type="http://schemas.openxmlformats.org/officeDocument/2006/relationships/hyperlink" Target="https://viruswaarheid.nl/juridisch/sommatiebrief-leden-gezondheidsraad/" TargetMode="External"/><Relationship Id="rId33" Type="http://schemas.openxmlformats.org/officeDocument/2006/relationships/hyperlink" Target="https://viruswaarheid.nl/juridisch/sommatiebrief-leden-gezondheidsraad/" TargetMode="External"/><Relationship Id="rId38" Type="http://schemas.openxmlformats.org/officeDocument/2006/relationships/hyperlink" Target="https://viruswaarheid.nl/juridisch/sommatiebrief-leden-gezondheidsraad/" TargetMode="External"/><Relationship Id="rId20" Type="http://schemas.openxmlformats.org/officeDocument/2006/relationships/hyperlink" Target="https://viruswaarheid.nl/juridisch/sommatiebrief-leden-gezondheidsraad/" TargetMode="External"/><Relationship Id="rId41" Type="http://schemas.openxmlformats.org/officeDocument/2006/relationships/hyperlink" Target="https://viruswaarheid.nl/juridisch/sommatiebrief-leden-gezondheidsraa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7625</Words>
  <Characters>41942</Characters>
  <Application>Microsoft Office Word</Application>
  <DocSecurity>0</DocSecurity>
  <Lines>349</Lines>
  <Paragraphs>98</Paragraphs>
  <ScaleCrop>false</ScaleCrop>
  <Company/>
  <LinksUpToDate>false</LinksUpToDate>
  <CharactersWithSpaces>49469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mirry</dc:creator>
  <dc:description/>
  <cp:lastModifiedBy>mr. Jeroen S. Pols</cp:lastModifiedBy>
  <cp:revision>2</cp:revision>
  <dcterms:created xsi:type="dcterms:W3CDTF">2021-09-30T14:22:00Z</dcterms:created>
  <dcterms:modified xsi:type="dcterms:W3CDTF">2021-09-30T14:22:00Z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