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17F97B" w14:textId="77777777" w:rsidR="00FA1E24" w:rsidRPr="002A7475" w:rsidRDefault="00FA1E24" w:rsidP="00346140">
      <w:pPr>
        <w:jc w:val="both"/>
        <w:rPr>
          <w:rFonts w:ascii="Calibri" w:hAnsi="Calibri" w:cs="Calibri"/>
          <w:sz w:val="28"/>
          <w:szCs w:val="28"/>
        </w:rPr>
      </w:pPr>
    </w:p>
    <w:p w14:paraId="29CAC8EA" w14:textId="77777777" w:rsidR="00FA1E24" w:rsidRPr="002A7475" w:rsidRDefault="00FA1E24" w:rsidP="00346140">
      <w:pPr>
        <w:jc w:val="both"/>
        <w:rPr>
          <w:rFonts w:ascii="Calibri" w:hAnsi="Calibri" w:cs="Calibri"/>
          <w:sz w:val="28"/>
          <w:szCs w:val="28"/>
        </w:rPr>
      </w:pPr>
    </w:p>
    <w:p w14:paraId="638A7BB1" w14:textId="77777777" w:rsidR="00B24F93" w:rsidRPr="002A7475" w:rsidRDefault="00B24F93" w:rsidP="00346140">
      <w:pPr>
        <w:jc w:val="both"/>
        <w:rPr>
          <w:rFonts w:ascii="Calibri" w:hAnsi="Calibri" w:cs="Calibri"/>
          <w:sz w:val="28"/>
          <w:szCs w:val="28"/>
        </w:rPr>
      </w:pPr>
    </w:p>
    <w:p w14:paraId="52B82877" w14:textId="77777777" w:rsidR="00B24F93" w:rsidRPr="002A7475" w:rsidRDefault="00B24F93" w:rsidP="00346140">
      <w:pPr>
        <w:jc w:val="both"/>
        <w:rPr>
          <w:rFonts w:ascii="Calibri" w:hAnsi="Calibri" w:cs="Calibri"/>
          <w:sz w:val="28"/>
          <w:szCs w:val="28"/>
        </w:rPr>
      </w:pPr>
    </w:p>
    <w:p w14:paraId="7DF53E09" w14:textId="27E46C0B" w:rsidR="00FA1E24" w:rsidRDefault="003B0BC5" w:rsidP="00346140">
      <w:pPr>
        <w:jc w:val="both"/>
        <w:rPr>
          <w:rFonts w:ascii="Calibri" w:hAnsi="Calibri" w:cs="Calibri"/>
          <w:sz w:val="28"/>
          <w:szCs w:val="28"/>
          <w:u w:val="single"/>
        </w:rPr>
      </w:pPr>
      <w:hyperlink r:id="rId8" w:history="1">
        <w:r w:rsidR="001D61DB" w:rsidRPr="00226737">
          <w:rPr>
            <w:rStyle w:val="Hyperlink"/>
            <w:rFonts w:ascii="Calibri" w:hAnsi="Calibri" w:cs="Calibri"/>
            <w:sz w:val="28"/>
            <w:szCs w:val="28"/>
          </w:rPr>
          <w:t>Bestuursrecht.RB-MNL@rechtspraak.nl</w:t>
        </w:r>
      </w:hyperlink>
    </w:p>
    <w:p w14:paraId="1FB774E9" w14:textId="77777777" w:rsidR="001D61DB" w:rsidRPr="002A7475" w:rsidRDefault="001D61DB" w:rsidP="00346140">
      <w:pPr>
        <w:jc w:val="both"/>
        <w:rPr>
          <w:rFonts w:ascii="Calibri" w:hAnsi="Calibri" w:cs="Calibri"/>
          <w:sz w:val="28"/>
          <w:szCs w:val="28"/>
          <w:u w:val="single"/>
        </w:rPr>
      </w:pPr>
    </w:p>
    <w:p w14:paraId="4459D32F" w14:textId="5E574E5F" w:rsidR="00FE43BB" w:rsidRPr="002A7475" w:rsidRDefault="006A2C91" w:rsidP="00346140">
      <w:pPr>
        <w:jc w:val="both"/>
        <w:rPr>
          <w:rFonts w:ascii="Calibri" w:hAnsi="Calibri" w:cs="Calibri"/>
          <w:sz w:val="28"/>
          <w:szCs w:val="28"/>
        </w:rPr>
      </w:pPr>
      <w:r w:rsidRPr="002A7475">
        <w:rPr>
          <w:rFonts w:ascii="Calibri" w:hAnsi="Calibri" w:cs="Calibri"/>
          <w:sz w:val="28"/>
          <w:szCs w:val="28"/>
        </w:rPr>
        <w:t xml:space="preserve">Rechtbank </w:t>
      </w:r>
      <w:r w:rsidR="001D61DB" w:rsidRPr="002A7475">
        <w:rPr>
          <w:rFonts w:ascii="Calibri" w:hAnsi="Calibri" w:cs="Calibri"/>
          <w:sz w:val="28"/>
          <w:szCs w:val="28"/>
        </w:rPr>
        <w:t>Utrecht</w:t>
      </w:r>
    </w:p>
    <w:p w14:paraId="56668CF2" w14:textId="00E38929" w:rsidR="001D61DB" w:rsidRPr="002A7475" w:rsidRDefault="001D61DB" w:rsidP="00346140">
      <w:pPr>
        <w:jc w:val="both"/>
        <w:rPr>
          <w:rFonts w:ascii="Calibri" w:hAnsi="Calibri" w:cs="Calibri"/>
          <w:sz w:val="28"/>
          <w:szCs w:val="28"/>
        </w:rPr>
      </w:pPr>
      <w:r w:rsidRPr="002A7475">
        <w:rPr>
          <w:rFonts w:ascii="Calibri" w:hAnsi="Calibri" w:cs="Calibri"/>
          <w:sz w:val="28"/>
          <w:szCs w:val="28"/>
        </w:rPr>
        <w:t>Afdeling bestuursrecht</w:t>
      </w:r>
    </w:p>
    <w:p w14:paraId="45078BEA" w14:textId="77777777" w:rsidR="00FE43BB" w:rsidRPr="002A7475" w:rsidRDefault="00567DFF" w:rsidP="00346140">
      <w:pPr>
        <w:jc w:val="both"/>
        <w:rPr>
          <w:rFonts w:ascii="Calibri" w:hAnsi="Calibri" w:cs="Calibri"/>
          <w:sz w:val="28"/>
          <w:szCs w:val="28"/>
        </w:rPr>
      </w:pPr>
      <w:r w:rsidRPr="002A7475">
        <w:rPr>
          <w:rFonts w:ascii="Calibri" w:hAnsi="Calibri" w:cs="Calibri"/>
          <w:sz w:val="28"/>
          <w:szCs w:val="28"/>
        </w:rPr>
        <w:t>De voorzieningenrechter</w:t>
      </w:r>
    </w:p>
    <w:p w14:paraId="4DF74C67" w14:textId="01EFE473" w:rsidR="001D61DB" w:rsidRPr="002A7475" w:rsidRDefault="001D61DB" w:rsidP="00346140">
      <w:pPr>
        <w:jc w:val="both"/>
        <w:rPr>
          <w:rFonts w:ascii="Calibri" w:hAnsi="Calibri" w:cs="Calibri"/>
          <w:color w:val="3C4043"/>
          <w:sz w:val="28"/>
          <w:szCs w:val="28"/>
          <w:shd w:val="clear" w:color="auto" w:fill="FFFFFF"/>
        </w:rPr>
      </w:pPr>
      <w:r w:rsidRPr="002A7475">
        <w:rPr>
          <w:rFonts w:ascii="Calibri" w:hAnsi="Calibri" w:cs="Calibri"/>
          <w:color w:val="3C4043"/>
          <w:sz w:val="28"/>
          <w:szCs w:val="28"/>
          <w:shd w:val="clear" w:color="auto" w:fill="FFFFFF"/>
        </w:rPr>
        <w:t>Postbus 16005</w:t>
      </w:r>
    </w:p>
    <w:p w14:paraId="5E7FC72B" w14:textId="638A5BF9" w:rsidR="00567DFF" w:rsidRPr="002A7475" w:rsidRDefault="001D61DB" w:rsidP="00346140">
      <w:pPr>
        <w:jc w:val="both"/>
        <w:rPr>
          <w:rFonts w:ascii="Calibri" w:hAnsi="Calibri" w:cs="Calibri"/>
          <w:sz w:val="28"/>
          <w:szCs w:val="28"/>
        </w:rPr>
      </w:pPr>
      <w:r w:rsidRPr="002A7475">
        <w:rPr>
          <w:rFonts w:ascii="Calibri" w:hAnsi="Calibri" w:cs="Calibri"/>
          <w:color w:val="3C4043"/>
          <w:sz w:val="28"/>
          <w:szCs w:val="28"/>
          <w:shd w:val="clear" w:color="auto" w:fill="FFFFFF"/>
        </w:rPr>
        <w:t>3500 DA </w:t>
      </w:r>
      <w:r w:rsidRPr="002A7475">
        <w:rPr>
          <w:rStyle w:val="Nadruk"/>
          <w:rFonts w:ascii="Calibri" w:hAnsi="Calibri" w:cs="Calibri"/>
          <w:b/>
          <w:bCs/>
          <w:i w:val="0"/>
          <w:iCs w:val="0"/>
          <w:color w:val="5F6368"/>
          <w:sz w:val="28"/>
          <w:szCs w:val="28"/>
          <w:shd w:val="clear" w:color="auto" w:fill="FFFFFF"/>
        </w:rPr>
        <w:t>Utrecht</w:t>
      </w:r>
    </w:p>
    <w:p w14:paraId="6708AEBC" w14:textId="77777777" w:rsidR="008B3127" w:rsidRPr="002A7475" w:rsidRDefault="003B0BC5" w:rsidP="00346140">
      <w:pPr>
        <w:jc w:val="both"/>
        <w:rPr>
          <w:rFonts w:ascii="Calibri" w:hAnsi="Calibri" w:cs="Calibri"/>
          <w:sz w:val="28"/>
          <w:szCs w:val="28"/>
        </w:rPr>
      </w:pPr>
      <w:r>
        <w:rPr>
          <w:rFonts w:ascii="Calibri" w:hAnsi="Calibri" w:cs="Calibri"/>
          <w:noProof/>
          <w:sz w:val="28"/>
          <w:szCs w:val="28"/>
        </w:rPr>
        <w:pict w14:anchorId="633565F8">
          <v:shapetype id="_x0000_t202" coordsize="21600,21600" o:spt="202" path="m,l,21600r21600,l21600,xe">
            <v:stroke joinstyle="miter"/>
            <v:path gradientshapeok="t" o:connecttype="rect"/>
          </v:shapetype>
          <v:shape id="_x0000_s1026" type="#_x0000_t202" style="position:absolute;left:0;text-align:left;margin-left:-20.65pt;margin-top:6.55pt;width:88.85pt;height:75.4pt;z-index:1" filled="f" stroked="f">
            <v:textbox style="mso-next-textbox:#_x0000_s1026">
              <w:txbxContent>
                <w:p w14:paraId="2C055FB2" w14:textId="77777777" w:rsidR="008C68D0" w:rsidRPr="001C68A0" w:rsidRDefault="008C68D0" w:rsidP="008B3127">
                  <w:pPr>
                    <w:spacing w:line="360" w:lineRule="auto"/>
                    <w:rPr>
                      <w:rFonts w:ascii="Garamond" w:hAnsi="Garamond"/>
                      <w:sz w:val="18"/>
                      <w:szCs w:val="18"/>
                    </w:rPr>
                  </w:pPr>
                  <w:r w:rsidRPr="001C68A0">
                    <w:rPr>
                      <w:rFonts w:ascii="Garamond" w:hAnsi="Garamond"/>
                      <w:sz w:val="18"/>
                      <w:szCs w:val="18"/>
                    </w:rPr>
                    <w:t>Datum:</w:t>
                  </w:r>
                </w:p>
                <w:p w14:paraId="6534ECCE" w14:textId="77777777" w:rsidR="008C68D0" w:rsidRPr="001C68A0" w:rsidRDefault="008C68D0" w:rsidP="008B3127">
                  <w:pPr>
                    <w:spacing w:line="360" w:lineRule="auto"/>
                    <w:rPr>
                      <w:rFonts w:ascii="Garamond" w:hAnsi="Garamond"/>
                      <w:sz w:val="18"/>
                      <w:szCs w:val="18"/>
                    </w:rPr>
                  </w:pPr>
                  <w:r w:rsidRPr="001C68A0">
                    <w:rPr>
                      <w:rFonts w:ascii="Garamond" w:hAnsi="Garamond"/>
                      <w:sz w:val="18"/>
                      <w:szCs w:val="18"/>
                    </w:rPr>
                    <w:t>Inzake:</w:t>
                  </w:r>
                </w:p>
                <w:p w14:paraId="3A6D7D11" w14:textId="77777777" w:rsidR="00152FBA" w:rsidRDefault="008C68D0" w:rsidP="008B3127">
                  <w:pPr>
                    <w:spacing w:line="360" w:lineRule="auto"/>
                    <w:rPr>
                      <w:rFonts w:ascii="Garamond" w:hAnsi="Garamond"/>
                      <w:sz w:val="18"/>
                      <w:szCs w:val="18"/>
                    </w:rPr>
                  </w:pPr>
                  <w:r w:rsidRPr="001C68A0">
                    <w:rPr>
                      <w:rFonts w:ascii="Garamond" w:hAnsi="Garamond"/>
                      <w:sz w:val="18"/>
                      <w:szCs w:val="18"/>
                    </w:rPr>
                    <w:t xml:space="preserve">Uw </w:t>
                  </w:r>
                  <w:r w:rsidR="00152FBA">
                    <w:rPr>
                      <w:rFonts w:ascii="Garamond" w:hAnsi="Garamond"/>
                      <w:sz w:val="18"/>
                      <w:szCs w:val="18"/>
                    </w:rPr>
                    <w:t xml:space="preserve"> </w:t>
                  </w:r>
                </w:p>
                <w:p w14:paraId="1563D40A" w14:textId="77777777" w:rsidR="008C68D0" w:rsidRDefault="00152FBA" w:rsidP="008B3127">
                  <w:pPr>
                    <w:spacing w:line="360" w:lineRule="auto"/>
                    <w:rPr>
                      <w:rFonts w:ascii="Garamond" w:hAnsi="Garamond"/>
                      <w:sz w:val="18"/>
                      <w:szCs w:val="18"/>
                    </w:rPr>
                  </w:pPr>
                  <w:r>
                    <w:rPr>
                      <w:rFonts w:ascii="Garamond" w:hAnsi="Garamond"/>
                      <w:sz w:val="18"/>
                      <w:szCs w:val="18"/>
                    </w:rPr>
                    <w:t xml:space="preserve"> </w:t>
                  </w:r>
                  <w:r w:rsidR="008C68D0" w:rsidRPr="001C68A0">
                    <w:rPr>
                      <w:rFonts w:ascii="Garamond" w:hAnsi="Garamond"/>
                      <w:sz w:val="18"/>
                      <w:szCs w:val="18"/>
                    </w:rPr>
                    <w:t>kenmerk:</w:t>
                  </w:r>
                  <w:r w:rsidR="008C68D0">
                    <w:rPr>
                      <w:rFonts w:ascii="Garamond" w:hAnsi="Garamond"/>
                      <w:sz w:val="18"/>
                      <w:szCs w:val="18"/>
                    </w:rPr>
                    <w:tab/>
                    <w:t xml:space="preserve"> </w:t>
                  </w:r>
                </w:p>
                <w:p w14:paraId="31CA3576" w14:textId="77777777" w:rsidR="008C68D0" w:rsidRDefault="008C68D0" w:rsidP="008B3127">
                  <w:pPr>
                    <w:spacing w:line="360" w:lineRule="auto"/>
                    <w:rPr>
                      <w:rFonts w:ascii="Arial" w:hAnsi="Arial" w:cs="Arial"/>
                      <w:sz w:val="20"/>
                      <w:szCs w:val="20"/>
                    </w:rPr>
                  </w:pPr>
                  <w:r>
                    <w:rPr>
                      <w:rFonts w:ascii="Garamond" w:hAnsi="Garamond"/>
                      <w:sz w:val="18"/>
                      <w:szCs w:val="18"/>
                    </w:rPr>
                    <w:t>O</w:t>
                  </w:r>
                  <w:r w:rsidRPr="001C68A0">
                    <w:rPr>
                      <w:rFonts w:ascii="Garamond" w:hAnsi="Garamond"/>
                      <w:sz w:val="18"/>
                      <w:szCs w:val="18"/>
                    </w:rPr>
                    <w:t>ns kenmerk</w:t>
                  </w:r>
                  <w:r>
                    <w:rPr>
                      <w:sz w:val="18"/>
                      <w:szCs w:val="18"/>
                    </w:rPr>
                    <w:t>:</w:t>
                  </w:r>
                  <w:r>
                    <w:rPr>
                      <w:sz w:val="18"/>
                      <w:szCs w:val="18"/>
                    </w:rPr>
                    <w:tab/>
                    <w:t xml:space="preserve"> </w:t>
                  </w:r>
                </w:p>
                <w:p w14:paraId="3571C1B1" w14:textId="77777777" w:rsidR="008C68D0" w:rsidRPr="00041E1D" w:rsidRDefault="008C68D0" w:rsidP="008B3127">
                  <w:pPr>
                    <w:spacing w:line="360" w:lineRule="auto"/>
                    <w:rPr>
                      <w:sz w:val="18"/>
                      <w:szCs w:val="18"/>
                    </w:rPr>
                  </w:pPr>
                </w:p>
              </w:txbxContent>
            </v:textbox>
          </v:shape>
        </w:pict>
      </w:r>
    </w:p>
    <w:p w14:paraId="532454A3" w14:textId="28B62447" w:rsidR="008B3127" w:rsidRPr="002A7475" w:rsidRDefault="001D61DB" w:rsidP="00346140">
      <w:pPr>
        <w:jc w:val="both"/>
        <w:rPr>
          <w:rFonts w:ascii="Calibri" w:hAnsi="Calibri" w:cs="Calibri"/>
          <w:sz w:val="28"/>
          <w:szCs w:val="28"/>
        </w:rPr>
      </w:pPr>
      <w:r w:rsidRPr="002A7475">
        <w:rPr>
          <w:rFonts w:ascii="Calibri" w:hAnsi="Calibri" w:cs="Calibri"/>
          <w:sz w:val="28"/>
          <w:szCs w:val="28"/>
        </w:rPr>
        <w:t xml:space="preserve">          9 april 2021</w:t>
      </w:r>
    </w:p>
    <w:p w14:paraId="33CFD219" w14:textId="77777777" w:rsidR="008B3127" w:rsidRPr="002A7475" w:rsidRDefault="00540B9F" w:rsidP="00346140">
      <w:pPr>
        <w:jc w:val="both"/>
        <w:rPr>
          <w:rFonts w:ascii="Calibri" w:hAnsi="Calibri" w:cs="Calibri"/>
          <w:b/>
          <w:sz w:val="28"/>
          <w:szCs w:val="28"/>
          <w:u w:val="single"/>
        </w:rPr>
      </w:pPr>
      <w:r w:rsidRPr="002A7475">
        <w:rPr>
          <w:rFonts w:ascii="Calibri" w:hAnsi="Calibri" w:cs="Calibri"/>
          <w:sz w:val="28"/>
          <w:szCs w:val="28"/>
        </w:rPr>
        <w:t xml:space="preserve"> </w:t>
      </w:r>
      <w:r w:rsidR="00F9384C" w:rsidRPr="002A7475">
        <w:rPr>
          <w:rFonts w:ascii="Calibri" w:hAnsi="Calibri" w:cs="Calibri"/>
          <w:sz w:val="28"/>
          <w:szCs w:val="28"/>
        </w:rPr>
        <w:t xml:space="preserve">                       </w:t>
      </w:r>
    </w:p>
    <w:p w14:paraId="46BBDD9A" w14:textId="77777777" w:rsidR="00561A10" w:rsidRPr="002A7475" w:rsidRDefault="00275471" w:rsidP="00152FBA">
      <w:pPr>
        <w:jc w:val="both"/>
        <w:rPr>
          <w:rFonts w:ascii="Calibri" w:hAnsi="Calibri" w:cs="Calibri"/>
          <w:sz w:val="28"/>
          <w:szCs w:val="28"/>
        </w:rPr>
      </w:pPr>
      <w:r w:rsidRPr="002A7475">
        <w:rPr>
          <w:rFonts w:ascii="Calibri" w:hAnsi="Calibri" w:cs="Calibri"/>
          <w:sz w:val="28"/>
          <w:szCs w:val="28"/>
        </w:rPr>
        <w:tab/>
      </w:r>
      <w:r w:rsidR="00152FBA" w:rsidRPr="002A7475">
        <w:rPr>
          <w:rFonts w:ascii="Calibri" w:hAnsi="Calibri" w:cs="Calibri"/>
          <w:sz w:val="28"/>
          <w:szCs w:val="28"/>
        </w:rPr>
        <w:t xml:space="preserve">            </w:t>
      </w:r>
    </w:p>
    <w:p w14:paraId="30313297" w14:textId="77777777" w:rsidR="008B3127" w:rsidRPr="002A7475" w:rsidRDefault="00152FBA" w:rsidP="00346140">
      <w:pPr>
        <w:jc w:val="both"/>
        <w:rPr>
          <w:rFonts w:ascii="Calibri" w:hAnsi="Calibri" w:cs="Calibri"/>
          <w:sz w:val="28"/>
          <w:szCs w:val="28"/>
        </w:rPr>
      </w:pPr>
      <w:r w:rsidRPr="002A7475">
        <w:rPr>
          <w:rFonts w:ascii="Calibri" w:hAnsi="Calibri" w:cs="Calibri"/>
          <w:sz w:val="28"/>
          <w:szCs w:val="28"/>
        </w:rPr>
        <w:t xml:space="preserve">                        </w:t>
      </w:r>
      <w:r w:rsidR="00540B9F" w:rsidRPr="002A7475">
        <w:rPr>
          <w:rFonts w:ascii="Calibri" w:hAnsi="Calibri" w:cs="Calibri"/>
          <w:sz w:val="28"/>
          <w:szCs w:val="28"/>
        </w:rPr>
        <w:t xml:space="preserve"> </w:t>
      </w:r>
      <w:r w:rsidR="00F502F8" w:rsidRPr="002A7475">
        <w:rPr>
          <w:rFonts w:ascii="Calibri" w:hAnsi="Calibri" w:cs="Calibri"/>
          <w:b/>
          <w:sz w:val="28"/>
          <w:szCs w:val="28"/>
          <w:u w:val="single"/>
        </w:rPr>
        <w:t>Verzoek om voorlopige voorziening ex artikel 8:81 Awb</w:t>
      </w:r>
      <w:r w:rsidR="00275471" w:rsidRPr="002A7475">
        <w:rPr>
          <w:rFonts w:ascii="Calibri" w:hAnsi="Calibri" w:cs="Calibri"/>
          <w:b/>
          <w:sz w:val="28"/>
          <w:szCs w:val="28"/>
          <w:u w:val="single"/>
        </w:rPr>
        <w:t xml:space="preserve"> </w:t>
      </w:r>
    </w:p>
    <w:p w14:paraId="6A6E95EE" w14:textId="77777777" w:rsidR="008B3127" w:rsidRPr="002A7475" w:rsidRDefault="008B3127" w:rsidP="00346140">
      <w:pPr>
        <w:jc w:val="both"/>
        <w:rPr>
          <w:rFonts w:ascii="Calibri" w:hAnsi="Calibri" w:cs="Calibri"/>
          <w:sz w:val="28"/>
          <w:szCs w:val="28"/>
        </w:rPr>
      </w:pPr>
    </w:p>
    <w:p w14:paraId="2F7ACBD0" w14:textId="77777777" w:rsidR="008B3127" w:rsidRPr="002A7475" w:rsidRDefault="008B3127" w:rsidP="00346140">
      <w:pPr>
        <w:jc w:val="both"/>
        <w:rPr>
          <w:rFonts w:ascii="Calibri" w:hAnsi="Calibri" w:cs="Calibri"/>
          <w:sz w:val="28"/>
          <w:szCs w:val="28"/>
        </w:rPr>
      </w:pPr>
    </w:p>
    <w:p w14:paraId="14E9CA2D" w14:textId="77777777" w:rsidR="001149D9" w:rsidRPr="002A7475" w:rsidRDefault="001149D9" w:rsidP="00346140">
      <w:pPr>
        <w:jc w:val="both"/>
        <w:rPr>
          <w:rFonts w:ascii="Calibri" w:hAnsi="Calibri" w:cs="Calibri"/>
          <w:sz w:val="28"/>
          <w:szCs w:val="28"/>
        </w:rPr>
      </w:pPr>
    </w:p>
    <w:p w14:paraId="67FDCB21" w14:textId="77777777" w:rsidR="001149D9" w:rsidRPr="002A7475" w:rsidRDefault="001149D9" w:rsidP="00346140">
      <w:pPr>
        <w:jc w:val="both"/>
        <w:rPr>
          <w:rFonts w:ascii="Calibri" w:hAnsi="Calibri" w:cs="Calibri"/>
          <w:sz w:val="28"/>
          <w:szCs w:val="28"/>
        </w:rPr>
      </w:pPr>
    </w:p>
    <w:p w14:paraId="0E66A654" w14:textId="77777777" w:rsidR="008B3127" w:rsidRPr="002A7475" w:rsidRDefault="008B3127" w:rsidP="00346140">
      <w:pPr>
        <w:jc w:val="both"/>
        <w:rPr>
          <w:rFonts w:ascii="Calibri" w:hAnsi="Calibri" w:cs="Calibri"/>
          <w:sz w:val="28"/>
          <w:szCs w:val="28"/>
        </w:rPr>
      </w:pPr>
      <w:r w:rsidRPr="002A7475">
        <w:rPr>
          <w:rFonts w:ascii="Calibri" w:hAnsi="Calibri" w:cs="Calibri"/>
          <w:sz w:val="28"/>
          <w:szCs w:val="28"/>
        </w:rPr>
        <w:t>Edelachtbaar college,</w:t>
      </w:r>
    </w:p>
    <w:p w14:paraId="1307A93A" w14:textId="77777777" w:rsidR="008B3127" w:rsidRPr="002A7475" w:rsidRDefault="008B3127" w:rsidP="00346140">
      <w:pPr>
        <w:jc w:val="both"/>
        <w:rPr>
          <w:rFonts w:ascii="Calibri" w:hAnsi="Calibri" w:cs="Calibri"/>
          <w:sz w:val="28"/>
          <w:szCs w:val="28"/>
        </w:rPr>
      </w:pPr>
    </w:p>
    <w:p w14:paraId="27F3DF34" w14:textId="77777777" w:rsidR="006B72BA" w:rsidRPr="002A7475" w:rsidRDefault="00B65851" w:rsidP="00346140">
      <w:pPr>
        <w:jc w:val="both"/>
        <w:rPr>
          <w:rFonts w:ascii="Calibri" w:hAnsi="Calibri" w:cs="Calibri"/>
          <w:sz w:val="28"/>
          <w:szCs w:val="28"/>
        </w:rPr>
      </w:pPr>
      <w:r w:rsidRPr="002A7475">
        <w:rPr>
          <w:rFonts w:ascii="Calibri" w:hAnsi="Calibri" w:cs="Calibri"/>
          <w:sz w:val="28"/>
          <w:szCs w:val="28"/>
        </w:rPr>
        <w:t xml:space="preserve">Ondergetekende, mr. J.S. Pols, kantoorhoudende te Vogelenzang aan de Deken </w:t>
      </w:r>
      <w:proofErr w:type="spellStart"/>
      <w:r w:rsidRPr="002A7475">
        <w:rPr>
          <w:rFonts w:ascii="Calibri" w:hAnsi="Calibri" w:cs="Calibri"/>
          <w:sz w:val="28"/>
          <w:szCs w:val="28"/>
        </w:rPr>
        <w:t>Zondaglaan</w:t>
      </w:r>
      <w:proofErr w:type="spellEnd"/>
      <w:r w:rsidRPr="002A7475">
        <w:rPr>
          <w:rFonts w:ascii="Calibri" w:hAnsi="Calibri" w:cs="Calibri"/>
          <w:sz w:val="28"/>
          <w:szCs w:val="28"/>
        </w:rPr>
        <w:t xml:space="preserve"> 72, heeft in zijn hoedanigheid als gemachtigde van </w:t>
      </w:r>
    </w:p>
    <w:p w14:paraId="51C68C28" w14:textId="77777777" w:rsidR="006B72BA" w:rsidRPr="002A7475" w:rsidRDefault="006B72BA" w:rsidP="00346140">
      <w:pPr>
        <w:jc w:val="both"/>
        <w:rPr>
          <w:rFonts w:ascii="Calibri" w:hAnsi="Calibri" w:cs="Calibri"/>
          <w:sz w:val="28"/>
          <w:szCs w:val="28"/>
        </w:rPr>
      </w:pPr>
    </w:p>
    <w:p w14:paraId="5BE00423" w14:textId="77777777" w:rsidR="001D61DB" w:rsidRPr="001D61DB" w:rsidRDefault="001D61DB" w:rsidP="001D61DB">
      <w:pPr>
        <w:numPr>
          <w:ilvl w:val="0"/>
          <w:numId w:val="14"/>
        </w:numPr>
        <w:contextualSpacing/>
        <w:jc w:val="both"/>
        <w:rPr>
          <w:rFonts w:ascii="Calibri" w:hAnsi="Calibri" w:cs="Calibri"/>
          <w:sz w:val="28"/>
          <w:szCs w:val="28"/>
        </w:rPr>
      </w:pPr>
      <w:r w:rsidRPr="001D61DB">
        <w:rPr>
          <w:rFonts w:ascii="Calibri" w:hAnsi="Calibri" w:cs="Calibri"/>
          <w:sz w:val="28"/>
          <w:szCs w:val="28"/>
        </w:rPr>
        <w:t xml:space="preserve">De vereniging met beperkte rechtspersoonlijkheid </w:t>
      </w:r>
      <w:proofErr w:type="spellStart"/>
      <w:r w:rsidRPr="001D61DB">
        <w:rPr>
          <w:rFonts w:ascii="Calibri" w:hAnsi="Calibri" w:cs="Calibri"/>
          <w:b/>
          <w:bCs/>
          <w:sz w:val="28"/>
          <w:szCs w:val="28"/>
          <w:u w:val="single"/>
        </w:rPr>
        <w:t>Police</w:t>
      </w:r>
      <w:proofErr w:type="spellEnd"/>
      <w:r w:rsidRPr="001D61DB">
        <w:rPr>
          <w:rFonts w:ascii="Calibri" w:hAnsi="Calibri" w:cs="Calibri"/>
          <w:b/>
          <w:bCs/>
          <w:sz w:val="28"/>
          <w:szCs w:val="28"/>
          <w:u w:val="single"/>
        </w:rPr>
        <w:t xml:space="preserve"> </w:t>
      </w:r>
      <w:proofErr w:type="spellStart"/>
      <w:r w:rsidRPr="001D61DB">
        <w:rPr>
          <w:rFonts w:ascii="Calibri" w:hAnsi="Calibri" w:cs="Calibri"/>
          <w:b/>
          <w:bCs/>
          <w:sz w:val="28"/>
          <w:szCs w:val="28"/>
          <w:u w:val="single"/>
        </w:rPr>
        <w:t>for</w:t>
      </w:r>
      <w:proofErr w:type="spellEnd"/>
      <w:r w:rsidRPr="001D61DB">
        <w:rPr>
          <w:rFonts w:ascii="Calibri" w:hAnsi="Calibri" w:cs="Calibri"/>
          <w:b/>
          <w:bCs/>
          <w:sz w:val="28"/>
          <w:szCs w:val="28"/>
          <w:u w:val="single"/>
        </w:rPr>
        <w:t xml:space="preserve"> </w:t>
      </w:r>
      <w:proofErr w:type="spellStart"/>
      <w:r w:rsidRPr="001D61DB">
        <w:rPr>
          <w:rFonts w:ascii="Calibri" w:hAnsi="Calibri" w:cs="Calibri"/>
          <w:b/>
          <w:bCs/>
          <w:sz w:val="28"/>
          <w:szCs w:val="28"/>
          <w:u w:val="single"/>
        </w:rPr>
        <w:t>Freedom</w:t>
      </w:r>
      <w:proofErr w:type="spellEnd"/>
    </w:p>
    <w:p w14:paraId="3C0BA2BC" w14:textId="3161A618" w:rsidR="001D61DB" w:rsidRPr="001D61DB" w:rsidRDefault="00DF7563" w:rsidP="001D61DB">
      <w:pPr>
        <w:numPr>
          <w:ilvl w:val="0"/>
          <w:numId w:val="14"/>
        </w:numPr>
        <w:contextualSpacing/>
        <w:jc w:val="both"/>
        <w:rPr>
          <w:rFonts w:ascii="Calibri" w:hAnsi="Calibri" w:cs="Calibri"/>
          <w:sz w:val="28"/>
          <w:szCs w:val="28"/>
        </w:rPr>
      </w:pPr>
      <w:proofErr w:type="spellStart"/>
      <w:r>
        <w:rPr>
          <w:rFonts w:ascii="Calibri" w:hAnsi="Calibri" w:cs="Calibri"/>
          <w:b/>
          <w:bCs/>
          <w:sz w:val="28"/>
          <w:szCs w:val="28"/>
          <w:u w:val="single"/>
        </w:rPr>
        <w:t>XXXXXXXXXX</w:t>
      </w:r>
      <w:r w:rsidR="001D61DB" w:rsidRPr="001D61DB">
        <w:rPr>
          <w:rFonts w:ascii="Calibri" w:hAnsi="Calibri" w:cs="Calibri"/>
          <w:sz w:val="28"/>
          <w:szCs w:val="28"/>
        </w:rPr>
        <w:t>wonende</w:t>
      </w:r>
      <w:proofErr w:type="spellEnd"/>
      <w:r w:rsidR="001D61DB" w:rsidRPr="001D61DB">
        <w:rPr>
          <w:rFonts w:ascii="Calibri" w:hAnsi="Calibri" w:cs="Calibri"/>
          <w:sz w:val="28"/>
          <w:szCs w:val="28"/>
        </w:rPr>
        <w:t xml:space="preserve"> te </w:t>
      </w:r>
      <w:r>
        <w:rPr>
          <w:rFonts w:ascii="Calibri" w:hAnsi="Calibri" w:cs="Calibri"/>
          <w:sz w:val="28"/>
          <w:szCs w:val="28"/>
        </w:rPr>
        <w:t>XXXXXXXXXXXXXXXXXXXXX</w:t>
      </w:r>
    </w:p>
    <w:p w14:paraId="26A9E394" w14:textId="77777777" w:rsidR="00152FBA" w:rsidRPr="002A7475" w:rsidRDefault="00152FBA" w:rsidP="00152FBA">
      <w:pPr>
        <w:ind w:left="720"/>
        <w:jc w:val="both"/>
        <w:rPr>
          <w:rFonts w:ascii="Calibri" w:hAnsi="Calibri" w:cs="Calibri"/>
          <w:sz w:val="28"/>
          <w:szCs w:val="28"/>
        </w:rPr>
      </w:pPr>
    </w:p>
    <w:p w14:paraId="5E8C638E" w14:textId="02FC4646" w:rsidR="000F1860" w:rsidRPr="002A7475" w:rsidRDefault="00B65851" w:rsidP="006B72BA">
      <w:pPr>
        <w:jc w:val="both"/>
        <w:rPr>
          <w:rFonts w:ascii="Calibri" w:hAnsi="Calibri" w:cs="Calibri"/>
          <w:sz w:val="28"/>
          <w:szCs w:val="28"/>
        </w:rPr>
      </w:pPr>
      <w:r w:rsidRPr="002A7475">
        <w:rPr>
          <w:rFonts w:ascii="Calibri" w:hAnsi="Calibri" w:cs="Calibri"/>
          <w:sz w:val="28"/>
          <w:szCs w:val="28"/>
        </w:rPr>
        <w:t>di</w:t>
      </w:r>
      <w:r w:rsidR="006B72BA" w:rsidRPr="002A7475">
        <w:rPr>
          <w:rFonts w:ascii="Calibri" w:hAnsi="Calibri" w:cs="Calibri"/>
          <w:sz w:val="28"/>
          <w:szCs w:val="28"/>
        </w:rPr>
        <w:t>e te dezer zake woonplaats kiezen</w:t>
      </w:r>
      <w:r w:rsidRPr="002A7475">
        <w:rPr>
          <w:rFonts w:ascii="Calibri" w:hAnsi="Calibri" w:cs="Calibri"/>
          <w:sz w:val="28"/>
          <w:szCs w:val="28"/>
        </w:rPr>
        <w:t xml:space="preserve"> te mijnen kantore te (2114 ED) Vogelenzang aan de Deken </w:t>
      </w:r>
      <w:proofErr w:type="spellStart"/>
      <w:r w:rsidRPr="002A7475">
        <w:rPr>
          <w:rFonts w:ascii="Calibri" w:hAnsi="Calibri" w:cs="Calibri"/>
          <w:sz w:val="28"/>
          <w:szCs w:val="28"/>
        </w:rPr>
        <w:t>Zondaglaan</w:t>
      </w:r>
      <w:proofErr w:type="spellEnd"/>
      <w:r w:rsidRPr="002A7475">
        <w:rPr>
          <w:rFonts w:ascii="Calibri" w:hAnsi="Calibri" w:cs="Calibri"/>
          <w:sz w:val="28"/>
          <w:szCs w:val="28"/>
        </w:rPr>
        <w:t xml:space="preserve"> </w:t>
      </w:r>
      <w:proofErr w:type="spellStart"/>
      <w:r w:rsidRPr="002A7475">
        <w:rPr>
          <w:rFonts w:ascii="Calibri" w:hAnsi="Calibri" w:cs="Calibri"/>
          <w:sz w:val="28"/>
          <w:szCs w:val="28"/>
        </w:rPr>
        <w:t>nr</w:t>
      </w:r>
      <w:proofErr w:type="spellEnd"/>
      <w:r w:rsidR="00152FBA" w:rsidRPr="002A7475">
        <w:rPr>
          <w:rFonts w:ascii="Calibri" w:hAnsi="Calibri" w:cs="Calibri"/>
          <w:sz w:val="28"/>
          <w:szCs w:val="28"/>
        </w:rPr>
        <w:t xml:space="preserve"> 72. Heden</w:t>
      </w:r>
      <w:r w:rsidR="001D61DB" w:rsidRPr="002A7475">
        <w:rPr>
          <w:rFonts w:ascii="Calibri" w:hAnsi="Calibri" w:cs="Calibri"/>
          <w:sz w:val="28"/>
          <w:szCs w:val="28"/>
        </w:rPr>
        <w:t xml:space="preserve"> 9 april 2021</w:t>
      </w:r>
      <w:r w:rsidR="00152FBA" w:rsidRPr="002A7475">
        <w:rPr>
          <w:rFonts w:ascii="Calibri" w:hAnsi="Calibri" w:cs="Calibri"/>
          <w:sz w:val="28"/>
          <w:szCs w:val="28"/>
        </w:rPr>
        <w:t xml:space="preserve">  bezwaar</w:t>
      </w:r>
      <w:r w:rsidRPr="002A7475">
        <w:rPr>
          <w:rFonts w:ascii="Calibri" w:hAnsi="Calibri" w:cs="Calibri"/>
          <w:sz w:val="28"/>
          <w:szCs w:val="28"/>
        </w:rPr>
        <w:t xml:space="preserve"> aan</w:t>
      </w:r>
      <w:r w:rsidR="00585194" w:rsidRPr="002A7475">
        <w:rPr>
          <w:rFonts w:ascii="Calibri" w:hAnsi="Calibri" w:cs="Calibri"/>
          <w:sz w:val="28"/>
          <w:szCs w:val="28"/>
        </w:rPr>
        <w:t>getekend</w:t>
      </w:r>
      <w:r w:rsidRPr="002A7475">
        <w:rPr>
          <w:rFonts w:ascii="Calibri" w:hAnsi="Calibri" w:cs="Calibri"/>
          <w:sz w:val="28"/>
          <w:szCs w:val="28"/>
        </w:rPr>
        <w:t xml:space="preserve"> tegen </w:t>
      </w:r>
      <w:r w:rsidR="00152FBA" w:rsidRPr="002A7475">
        <w:rPr>
          <w:rFonts w:ascii="Calibri" w:hAnsi="Calibri" w:cs="Calibri"/>
          <w:sz w:val="28"/>
          <w:szCs w:val="28"/>
        </w:rPr>
        <w:t xml:space="preserve">het besluit </w:t>
      </w:r>
      <w:r w:rsidR="001D61DB" w:rsidRPr="002A7475">
        <w:rPr>
          <w:rFonts w:ascii="Calibri" w:hAnsi="Calibri" w:cs="Calibri"/>
          <w:sz w:val="28"/>
          <w:szCs w:val="28"/>
        </w:rPr>
        <w:t xml:space="preserve">van 8 april 2021 van de burgemeester van Hilversum </w:t>
      </w:r>
      <w:r w:rsidR="006B72BA" w:rsidRPr="002A7475">
        <w:rPr>
          <w:rFonts w:ascii="Calibri" w:hAnsi="Calibri" w:cs="Calibri"/>
          <w:sz w:val="28"/>
          <w:szCs w:val="28"/>
        </w:rPr>
        <w:t xml:space="preserve">en </w:t>
      </w:r>
      <w:r w:rsidR="00152FBA" w:rsidRPr="002A7475">
        <w:rPr>
          <w:rFonts w:ascii="Calibri" w:hAnsi="Calibri" w:cs="Calibri"/>
          <w:sz w:val="28"/>
          <w:szCs w:val="28"/>
        </w:rPr>
        <w:t xml:space="preserve">dat strekt tot het verbieden van een voor </w:t>
      </w:r>
      <w:r w:rsidR="001D61DB" w:rsidRPr="002A7475">
        <w:rPr>
          <w:rFonts w:ascii="Calibri" w:hAnsi="Calibri" w:cs="Calibri"/>
          <w:sz w:val="28"/>
          <w:szCs w:val="28"/>
        </w:rPr>
        <w:t>zaterdag 10 april 2021</w:t>
      </w:r>
      <w:r w:rsidR="00152FBA" w:rsidRPr="002A7475">
        <w:rPr>
          <w:rFonts w:ascii="Calibri" w:hAnsi="Calibri" w:cs="Calibri"/>
          <w:sz w:val="28"/>
          <w:szCs w:val="28"/>
        </w:rPr>
        <w:t xml:space="preserve"> aangekondigde </w:t>
      </w:r>
      <w:r w:rsidR="001D61DB" w:rsidRPr="002A7475">
        <w:rPr>
          <w:rFonts w:ascii="Calibri" w:hAnsi="Calibri" w:cs="Calibri"/>
          <w:sz w:val="28"/>
          <w:szCs w:val="28"/>
        </w:rPr>
        <w:t>“Mars voor menselijke verbinding”</w:t>
      </w:r>
      <w:r w:rsidR="00152FBA" w:rsidRPr="002A7475">
        <w:rPr>
          <w:rFonts w:ascii="Calibri" w:hAnsi="Calibri" w:cs="Calibri"/>
          <w:sz w:val="28"/>
          <w:szCs w:val="28"/>
        </w:rPr>
        <w:t xml:space="preserve"> </w:t>
      </w:r>
      <w:r w:rsidR="001D61DB" w:rsidRPr="002A7475">
        <w:rPr>
          <w:rFonts w:ascii="Calibri" w:hAnsi="Calibri" w:cs="Calibri"/>
          <w:sz w:val="28"/>
          <w:szCs w:val="28"/>
        </w:rPr>
        <w:t>te Hilversum.</w:t>
      </w:r>
    </w:p>
    <w:p w14:paraId="4AD420AB" w14:textId="77777777" w:rsidR="000F1860" w:rsidRPr="002A7475" w:rsidRDefault="000F1860" w:rsidP="00346140">
      <w:pPr>
        <w:jc w:val="both"/>
        <w:rPr>
          <w:rFonts w:ascii="Calibri" w:hAnsi="Calibri" w:cs="Calibri"/>
          <w:sz w:val="28"/>
          <w:szCs w:val="28"/>
        </w:rPr>
      </w:pPr>
    </w:p>
    <w:p w14:paraId="46F6110B" w14:textId="77777777" w:rsidR="00B65851" w:rsidRPr="002A7475" w:rsidRDefault="00B65851" w:rsidP="00346140">
      <w:pPr>
        <w:jc w:val="both"/>
        <w:rPr>
          <w:rFonts w:ascii="Calibri" w:hAnsi="Calibri" w:cs="Calibri"/>
          <w:sz w:val="28"/>
          <w:szCs w:val="28"/>
        </w:rPr>
      </w:pPr>
      <w:r w:rsidRPr="002A7475">
        <w:rPr>
          <w:rFonts w:ascii="Calibri" w:hAnsi="Calibri" w:cs="Calibri"/>
          <w:sz w:val="28"/>
          <w:szCs w:val="28"/>
        </w:rPr>
        <w:t xml:space="preserve">Tevens gelieve U bijgaand </w:t>
      </w:r>
      <w:r w:rsidR="006B72BA" w:rsidRPr="002A7475">
        <w:rPr>
          <w:rFonts w:ascii="Calibri" w:hAnsi="Calibri" w:cs="Calibri"/>
          <w:sz w:val="28"/>
          <w:szCs w:val="28"/>
        </w:rPr>
        <w:t>machtigingen</w:t>
      </w:r>
      <w:r w:rsidRPr="002A7475">
        <w:rPr>
          <w:rFonts w:ascii="Calibri" w:hAnsi="Calibri" w:cs="Calibri"/>
          <w:sz w:val="28"/>
          <w:szCs w:val="28"/>
        </w:rPr>
        <w:t xml:space="preserve"> aan te treffen waaruit blijkt dat ondergetekende bepaaldelijk gemachtigd is </w:t>
      </w:r>
      <w:r w:rsidR="00585194" w:rsidRPr="002A7475">
        <w:rPr>
          <w:rFonts w:ascii="Calibri" w:hAnsi="Calibri" w:cs="Calibri"/>
          <w:sz w:val="28"/>
          <w:szCs w:val="28"/>
        </w:rPr>
        <w:t>deze voorlopige voorziening</w:t>
      </w:r>
      <w:r w:rsidR="006B72BA" w:rsidRPr="002A7475">
        <w:rPr>
          <w:rFonts w:ascii="Calibri" w:hAnsi="Calibri" w:cs="Calibri"/>
          <w:sz w:val="28"/>
          <w:szCs w:val="28"/>
        </w:rPr>
        <w:t>en</w:t>
      </w:r>
      <w:r w:rsidR="00585194" w:rsidRPr="002A7475">
        <w:rPr>
          <w:rFonts w:ascii="Calibri" w:hAnsi="Calibri" w:cs="Calibri"/>
          <w:sz w:val="28"/>
          <w:szCs w:val="28"/>
        </w:rPr>
        <w:t xml:space="preserve"> aan te vragen.</w:t>
      </w:r>
      <w:r w:rsidRPr="002A7475">
        <w:rPr>
          <w:rFonts w:ascii="Calibri" w:hAnsi="Calibri" w:cs="Calibri"/>
          <w:sz w:val="28"/>
          <w:szCs w:val="28"/>
        </w:rPr>
        <w:t xml:space="preserve"> </w:t>
      </w:r>
    </w:p>
    <w:p w14:paraId="05800AD5" w14:textId="77777777" w:rsidR="001D61DB" w:rsidRPr="002A7475" w:rsidRDefault="001D61DB" w:rsidP="001D61DB">
      <w:pPr>
        <w:contextualSpacing/>
        <w:jc w:val="both"/>
        <w:rPr>
          <w:rFonts w:ascii="Calibri" w:hAnsi="Calibri" w:cs="Calibri"/>
          <w:sz w:val="28"/>
          <w:szCs w:val="28"/>
        </w:rPr>
      </w:pPr>
    </w:p>
    <w:p w14:paraId="1C2C407C" w14:textId="72F43A14" w:rsidR="001D61DB" w:rsidRPr="002A7475" w:rsidRDefault="001D61DB" w:rsidP="001D61DB">
      <w:pPr>
        <w:contextualSpacing/>
        <w:jc w:val="both"/>
        <w:rPr>
          <w:rFonts w:ascii="Calibri" w:hAnsi="Calibri" w:cs="Calibri"/>
          <w:sz w:val="28"/>
          <w:szCs w:val="28"/>
        </w:rPr>
      </w:pPr>
      <w:r w:rsidRPr="002A7475">
        <w:rPr>
          <w:rFonts w:ascii="Calibri" w:hAnsi="Calibri" w:cs="Calibri"/>
          <w:sz w:val="28"/>
          <w:szCs w:val="28"/>
        </w:rPr>
        <w:lastRenderedPageBreak/>
        <w:t>Tegen dit besluit zijn  volgende gronden aangevoerd:</w:t>
      </w:r>
    </w:p>
    <w:p w14:paraId="68B283E0" w14:textId="77777777" w:rsidR="001D61DB" w:rsidRPr="002A7475" w:rsidRDefault="001D61DB" w:rsidP="001D61DB">
      <w:pPr>
        <w:contextualSpacing/>
        <w:jc w:val="both"/>
        <w:rPr>
          <w:rFonts w:ascii="Calibri" w:hAnsi="Calibri" w:cs="Calibri"/>
          <w:sz w:val="28"/>
          <w:szCs w:val="28"/>
        </w:rPr>
      </w:pPr>
    </w:p>
    <w:p w14:paraId="237A165F" w14:textId="77777777" w:rsidR="001D61DB" w:rsidRPr="002A7475" w:rsidRDefault="001D61DB" w:rsidP="001D61DB">
      <w:pPr>
        <w:ind w:left="1080"/>
        <w:contextualSpacing/>
        <w:jc w:val="both"/>
        <w:rPr>
          <w:rFonts w:ascii="Calibri" w:hAnsi="Calibri" w:cs="Calibri"/>
          <w:b/>
          <w:bCs/>
          <w:sz w:val="28"/>
          <w:szCs w:val="28"/>
        </w:rPr>
      </w:pPr>
      <w:r w:rsidRPr="002A7475">
        <w:rPr>
          <w:rFonts w:ascii="Calibri" w:hAnsi="Calibri" w:cs="Calibri"/>
          <w:b/>
          <w:bCs/>
          <w:sz w:val="28"/>
          <w:szCs w:val="28"/>
        </w:rPr>
        <w:t>Feiten</w:t>
      </w:r>
    </w:p>
    <w:p w14:paraId="1DB906DE" w14:textId="77777777" w:rsidR="001D61DB" w:rsidRPr="002A7475" w:rsidRDefault="001D61DB" w:rsidP="001D61DB">
      <w:pPr>
        <w:numPr>
          <w:ilvl w:val="0"/>
          <w:numId w:val="15"/>
        </w:numPr>
        <w:contextualSpacing/>
        <w:jc w:val="both"/>
        <w:rPr>
          <w:rFonts w:ascii="Calibri" w:hAnsi="Calibri" w:cs="Calibri"/>
          <w:sz w:val="28"/>
          <w:szCs w:val="28"/>
        </w:rPr>
      </w:pPr>
      <w:proofErr w:type="spellStart"/>
      <w:r w:rsidRPr="002A7475">
        <w:rPr>
          <w:rFonts w:ascii="Calibri" w:hAnsi="Calibri" w:cs="Calibri"/>
          <w:sz w:val="28"/>
          <w:szCs w:val="28"/>
        </w:rPr>
        <w:t>Police</w:t>
      </w:r>
      <w:proofErr w:type="spellEnd"/>
      <w:r w:rsidRPr="002A7475">
        <w:rPr>
          <w:rFonts w:ascii="Calibri" w:hAnsi="Calibri" w:cs="Calibri"/>
          <w:sz w:val="28"/>
          <w:szCs w:val="28"/>
        </w:rPr>
        <w:t xml:space="preserve"> </w:t>
      </w:r>
      <w:proofErr w:type="spellStart"/>
      <w:r w:rsidRPr="002A7475">
        <w:rPr>
          <w:rFonts w:ascii="Calibri" w:hAnsi="Calibri" w:cs="Calibri"/>
          <w:sz w:val="28"/>
          <w:szCs w:val="28"/>
        </w:rPr>
        <w:t>for</w:t>
      </w:r>
      <w:proofErr w:type="spellEnd"/>
      <w:r w:rsidRPr="002A7475">
        <w:rPr>
          <w:rFonts w:ascii="Calibri" w:hAnsi="Calibri" w:cs="Calibri"/>
          <w:sz w:val="28"/>
          <w:szCs w:val="28"/>
        </w:rPr>
        <w:t xml:space="preserve"> </w:t>
      </w:r>
      <w:proofErr w:type="spellStart"/>
      <w:r w:rsidRPr="002A7475">
        <w:rPr>
          <w:rFonts w:ascii="Calibri" w:hAnsi="Calibri" w:cs="Calibri"/>
          <w:sz w:val="28"/>
          <w:szCs w:val="28"/>
        </w:rPr>
        <w:t>Freedom</w:t>
      </w:r>
      <w:proofErr w:type="spellEnd"/>
      <w:r w:rsidRPr="002A7475">
        <w:rPr>
          <w:rFonts w:ascii="Calibri" w:hAnsi="Calibri" w:cs="Calibri"/>
          <w:sz w:val="28"/>
          <w:szCs w:val="28"/>
        </w:rPr>
        <w:t xml:space="preserve"> is een vereniging met beperkte rechtspersoonlijkheid met als doel de rechtsstaat te behouden en te streven naar saamhorigheid en verbinding. De bij de vereniging aangesloten leden bestaan uit (voormalige) politiemensen, marechaussee, veteranen, artsen, verpleegkundigen, docenten en psychologen. </w:t>
      </w:r>
    </w:p>
    <w:p w14:paraId="5E4929A5" w14:textId="77777777" w:rsidR="001D61DB" w:rsidRPr="002A7475" w:rsidRDefault="001D61DB" w:rsidP="001D61DB">
      <w:pPr>
        <w:ind w:left="1080"/>
        <w:contextualSpacing/>
        <w:jc w:val="both"/>
        <w:rPr>
          <w:rFonts w:ascii="Calibri" w:hAnsi="Calibri" w:cs="Calibri"/>
          <w:sz w:val="28"/>
          <w:szCs w:val="28"/>
        </w:rPr>
      </w:pPr>
    </w:p>
    <w:p w14:paraId="37CF8538" w14:textId="77777777" w:rsidR="001D61DB" w:rsidRPr="002A7475" w:rsidRDefault="001D61DB" w:rsidP="001D61DB">
      <w:pPr>
        <w:numPr>
          <w:ilvl w:val="0"/>
          <w:numId w:val="15"/>
        </w:numPr>
        <w:contextualSpacing/>
        <w:jc w:val="both"/>
        <w:rPr>
          <w:rFonts w:ascii="Calibri" w:hAnsi="Calibri" w:cs="Calibri"/>
          <w:sz w:val="28"/>
          <w:szCs w:val="28"/>
        </w:rPr>
      </w:pPr>
      <w:r w:rsidRPr="002A7475">
        <w:rPr>
          <w:rFonts w:ascii="Calibri" w:hAnsi="Calibri" w:cs="Calibri"/>
          <w:sz w:val="28"/>
          <w:szCs w:val="28"/>
        </w:rPr>
        <w:t xml:space="preserve">De vereniging is opgericht uit bezorgdheid over de veranderende cultuur binnen de politieorganisaties. Zo vormt onder meer de gewijzigde geweldsinstructies vanuit de leiding een punt van zorg. De beelden van het politieoptreden tijdens demonstraties in Den Haag en Amsterdam gingen wereldwijd viraal. </w:t>
      </w:r>
    </w:p>
    <w:p w14:paraId="2F368CDD" w14:textId="77777777" w:rsidR="001D61DB" w:rsidRPr="002A7475" w:rsidRDefault="001D61DB" w:rsidP="001D61DB">
      <w:pPr>
        <w:ind w:left="708"/>
        <w:contextualSpacing/>
        <w:rPr>
          <w:rFonts w:ascii="Calibri" w:hAnsi="Calibri" w:cs="Calibri"/>
          <w:sz w:val="28"/>
          <w:szCs w:val="28"/>
        </w:rPr>
      </w:pPr>
    </w:p>
    <w:p w14:paraId="5AC6B3C1" w14:textId="77777777" w:rsidR="001D61DB" w:rsidRPr="002A7475" w:rsidRDefault="001D61DB" w:rsidP="001D61DB">
      <w:pPr>
        <w:numPr>
          <w:ilvl w:val="0"/>
          <w:numId w:val="15"/>
        </w:numPr>
        <w:contextualSpacing/>
        <w:jc w:val="both"/>
        <w:rPr>
          <w:rFonts w:ascii="Calibri" w:hAnsi="Calibri" w:cs="Calibri"/>
          <w:sz w:val="28"/>
          <w:szCs w:val="28"/>
        </w:rPr>
      </w:pPr>
      <w:r w:rsidRPr="002A7475">
        <w:rPr>
          <w:rFonts w:ascii="Calibri" w:hAnsi="Calibri" w:cs="Calibri"/>
          <w:sz w:val="28"/>
          <w:szCs w:val="28"/>
        </w:rPr>
        <w:t xml:space="preserve">Ook voelen veel agenten zich niet gehoord en ondervinden zij onvoldoende ruimte voor kritiek of tegenspraak. Illustratief zijn de ruim 65 politiemensen die verslag deden van hun ervaringen bij de Buitenparlementaire Onderzoekscommissie 2020. Deze zijn terug te lezen op  </w:t>
      </w:r>
      <w:hyperlink r:id="rId9" w:history="1">
        <w:r w:rsidRPr="002A7475">
          <w:rPr>
            <w:rFonts w:ascii="Calibri" w:hAnsi="Calibri" w:cs="Calibri"/>
            <w:color w:val="0000FF"/>
            <w:sz w:val="28"/>
            <w:szCs w:val="28"/>
            <w:u w:val="single"/>
          </w:rPr>
          <w:t>https://bpoc2020.nl/politieverhoren/</w:t>
        </w:r>
      </w:hyperlink>
      <w:r w:rsidRPr="002A7475">
        <w:rPr>
          <w:rFonts w:ascii="Calibri" w:hAnsi="Calibri" w:cs="Calibri"/>
          <w:sz w:val="28"/>
          <w:szCs w:val="28"/>
        </w:rPr>
        <w:t>.</w:t>
      </w:r>
    </w:p>
    <w:p w14:paraId="13EAD92B" w14:textId="77777777" w:rsidR="001D61DB" w:rsidRPr="002A7475" w:rsidRDefault="001D61DB" w:rsidP="001D61DB">
      <w:pPr>
        <w:ind w:left="708"/>
        <w:contextualSpacing/>
        <w:rPr>
          <w:rFonts w:ascii="Calibri" w:hAnsi="Calibri" w:cs="Calibri"/>
          <w:sz w:val="28"/>
          <w:szCs w:val="28"/>
        </w:rPr>
      </w:pPr>
    </w:p>
    <w:p w14:paraId="339A093C" w14:textId="77777777" w:rsidR="001D61DB" w:rsidRPr="002A7475" w:rsidRDefault="001D61DB" w:rsidP="001D61DB">
      <w:pPr>
        <w:numPr>
          <w:ilvl w:val="0"/>
          <w:numId w:val="15"/>
        </w:numPr>
        <w:contextualSpacing/>
        <w:jc w:val="both"/>
        <w:rPr>
          <w:rFonts w:ascii="Calibri" w:hAnsi="Calibri" w:cs="Calibri"/>
          <w:sz w:val="28"/>
          <w:szCs w:val="28"/>
        </w:rPr>
      </w:pPr>
      <w:r w:rsidRPr="002A7475">
        <w:rPr>
          <w:rFonts w:ascii="Calibri" w:hAnsi="Calibri" w:cs="Calibri"/>
          <w:sz w:val="28"/>
          <w:szCs w:val="28"/>
        </w:rPr>
        <w:t>Op 8 april 2021 meldde de organisatie de geplande protestmars met het thema “Vrijheid is geen gevecht maar een recht” bij de burgemeester van Hilversum. Hiervoor is een draaiboek van de organisatie en een routebeschrijving opgesteld.</w:t>
      </w:r>
    </w:p>
    <w:p w14:paraId="376108A2" w14:textId="77777777" w:rsidR="001D61DB" w:rsidRPr="002A7475" w:rsidRDefault="001D61DB" w:rsidP="001D61DB">
      <w:pPr>
        <w:ind w:left="708"/>
        <w:contextualSpacing/>
        <w:rPr>
          <w:rFonts w:ascii="Calibri" w:hAnsi="Calibri" w:cs="Calibri"/>
          <w:sz w:val="28"/>
          <w:szCs w:val="28"/>
        </w:rPr>
      </w:pPr>
    </w:p>
    <w:p w14:paraId="2094ED6B" w14:textId="77777777" w:rsidR="001D61DB" w:rsidRPr="002A7475" w:rsidRDefault="001D61DB" w:rsidP="001D61DB">
      <w:pPr>
        <w:ind w:left="1080"/>
        <w:contextualSpacing/>
        <w:jc w:val="both"/>
        <w:rPr>
          <w:rFonts w:ascii="Calibri" w:hAnsi="Calibri" w:cs="Calibri"/>
          <w:sz w:val="28"/>
          <w:szCs w:val="28"/>
        </w:rPr>
      </w:pPr>
      <w:r w:rsidRPr="002A7475">
        <w:rPr>
          <w:rFonts w:ascii="Calibri" w:hAnsi="Calibri" w:cs="Calibri"/>
          <w:b/>
          <w:bCs/>
          <w:sz w:val="28"/>
          <w:szCs w:val="28"/>
        </w:rPr>
        <w:t xml:space="preserve">Bijlage 1: </w:t>
      </w:r>
      <w:r w:rsidRPr="002A7475">
        <w:rPr>
          <w:rFonts w:ascii="Calibri" w:hAnsi="Calibri" w:cs="Calibri"/>
          <w:sz w:val="28"/>
          <w:szCs w:val="28"/>
        </w:rPr>
        <w:t>Draaiboek Mars voor menselijke verbinding</w:t>
      </w:r>
    </w:p>
    <w:p w14:paraId="0C64EF0D" w14:textId="77777777" w:rsidR="001D61DB" w:rsidRPr="002A7475" w:rsidRDefault="001D61DB" w:rsidP="001D61DB">
      <w:pPr>
        <w:ind w:left="1080"/>
        <w:contextualSpacing/>
        <w:jc w:val="both"/>
        <w:rPr>
          <w:rFonts w:ascii="Calibri" w:hAnsi="Calibri" w:cs="Calibri"/>
          <w:sz w:val="28"/>
          <w:szCs w:val="28"/>
        </w:rPr>
      </w:pPr>
    </w:p>
    <w:p w14:paraId="17337CA6" w14:textId="77777777" w:rsidR="001D61DB" w:rsidRPr="002A7475" w:rsidRDefault="001D61DB" w:rsidP="001D61DB">
      <w:pPr>
        <w:numPr>
          <w:ilvl w:val="0"/>
          <w:numId w:val="15"/>
        </w:numPr>
        <w:contextualSpacing/>
        <w:jc w:val="both"/>
        <w:rPr>
          <w:rFonts w:ascii="Calibri" w:hAnsi="Calibri" w:cs="Calibri"/>
          <w:sz w:val="28"/>
          <w:szCs w:val="28"/>
        </w:rPr>
      </w:pPr>
      <w:r w:rsidRPr="002A7475">
        <w:rPr>
          <w:rFonts w:ascii="Calibri" w:hAnsi="Calibri" w:cs="Calibri"/>
          <w:sz w:val="28"/>
          <w:szCs w:val="28"/>
        </w:rPr>
        <w:t xml:space="preserve">Een aantal uren later ontving de organisatie een besluit tot verbod van de demonstratie. </w:t>
      </w:r>
    </w:p>
    <w:p w14:paraId="2D41A540" w14:textId="77777777" w:rsidR="001D61DB" w:rsidRPr="002A7475" w:rsidRDefault="001D61DB" w:rsidP="001D61DB">
      <w:pPr>
        <w:ind w:left="1080"/>
        <w:contextualSpacing/>
        <w:jc w:val="both"/>
        <w:rPr>
          <w:rFonts w:ascii="Calibri" w:hAnsi="Calibri" w:cs="Calibri"/>
          <w:sz w:val="28"/>
          <w:szCs w:val="28"/>
        </w:rPr>
      </w:pPr>
    </w:p>
    <w:p w14:paraId="4A6D63E3" w14:textId="77777777" w:rsidR="001D61DB" w:rsidRPr="002A7475" w:rsidRDefault="001D61DB" w:rsidP="001D61DB">
      <w:pPr>
        <w:ind w:left="1080"/>
        <w:contextualSpacing/>
        <w:jc w:val="both"/>
        <w:rPr>
          <w:rFonts w:ascii="Calibri" w:hAnsi="Calibri" w:cs="Calibri"/>
          <w:sz w:val="28"/>
          <w:szCs w:val="28"/>
        </w:rPr>
      </w:pPr>
      <w:r w:rsidRPr="002A7475">
        <w:rPr>
          <w:rFonts w:ascii="Calibri" w:hAnsi="Calibri" w:cs="Calibri"/>
          <w:b/>
          <w:bCs/>
          <w:sz w:val="28"/>
          <w:szCs w:val="28"/>
        </w:rPr>
        <w:t xml:space="preserve">Bijlage 2: </w:t>
      </w:r>
      <w:r w:rsidRPr="002A7475">
        <w:rPr>
          <w:rFonts w:ascii="Calibri" w:hAnsi="Calibri" w:cs="Calibri"/>
          <w:sz w:val="28"/>
          <w:szCs w:val="28"/>
        </w:rPr>
        <w:t>Besluit verbod betoging 8 april 2021</w:t>
      </w:r>
    </w:p>
    <w:p w14:paraId="619DDAEC" w14:textId="77777777" w:rsidR="001D61DB" w:rsidRPr="002A7475" w:rsidRDefault="001D61DB" w:rsidP="001D61DB">
      <w:pPr>
        <w:ind w:left="1080"/>
        <w:contextualSpacing/>
        <w:jc w:val="both"/>
        <w:rPr>
          <w:rFonts w:ascii="Calibri" w:hAnsi="Calibri" w:cs="Calibri"/>
          <w:sz w:val="28"/>
          <w:szCs w:val="28"/>
        </w:rPr>
      </w:pPr>
    </w:p>
    <w:p w14:paraId="7FE4794E" w14:textId="77777777" w:rsidR="001D61DB" w:rsidRPr="002A7475" w:rsidRDefault="001D61DB" w:rsidP="001D61DB">
      <w:pPr>
        <w:numPr>
          <w:ilvl w:val="0"/>
          <w:numId w:val="15"/>
        </w:numPr>
        <w:contextualSpacing/>
        <w:jc w:val="both"/>
        <w:rPr>
          <w:rFonts w:ascii="Calibri" w:hAnsi="Calibri" w:cs="Calibri"/>
          <w:sz w:val="28"/>
          <w:szCs w:val="28"/>
        </w:rPr>
      </w:pPr>
      <w:r w:rsidRPr="002A7475">
        <w:rPr>
          <w:rFonts w:ascii="Calibri" w:hAnsi="Calibri" w:cs="Calibri"/>
          <w:sz w:val="28"/>
          <w:szCs w:val="28"/>
        </w:rPr>
        <w:t>De organisatie meent dat de demonstratie ten onrechte verboden is.</w:t>
      </w:r>
    </w:p>
    <w:p w14:paraId="7B0EA2EA" w14:textId="77777777" w:rsidR="001D61DB" w:rsidRPr="002A7475" w:rsidRDefault="001D61DB" w:rsidP="001D61DB">
      <w:pPr>
        <w:contextualSpacing/>
        <w:jc w:val="both"/>
        <w:rPr>
          <w:rFonts w:ascii="Calibri" w:hAnsi="Calibri" w:cs="Calibri"/>
          <w:sz w:val="28"/>
          <w:szCs w:val="28"/>
        </w:rPr>
      </w:pPr>
    </w:p>
    <w:p w14:paraId="7B8CD554" w14:textId="77777777" w:rsidR="001D61DB" w:rsidRPr="002A7475" w:rsidRDefault="001D61DB" w:rsidP="001D61DB">
      <w:pPr>
        <w:ind w:left="1080"/>
        <w:contextualSpacing/>
        <w:jc w:val="both"/>
        <w:rPr>
          <w:rFonts w:ascii="Calibri" w:hAnsi="Calibri" w:cs="Calibri"/>
          <w:b/>
          <w:bCs/>
          <w:sz w:val="28"/>
          <w:szCs w:val="28"/>
        </w:rPr>
      </w:pPr>
      <w:r w:rsidRPr="002A7475">
        <w:rPr>
          <w:rFonts w:ascii="Calibri" w:hAnsi="Calibri" w:cs="Calibri"/>
          <w:b/>
          <w:bCs/>
          <w:sz w:val="28"/>
          <w:szCs w:val="28"/>
        </w:rPr>
        <w:t>Juridisch kader</w:t>
      </w:r>
    </w:p>
    <w:p w14:paraId="64E0EE20" w14:textId="77777777" w:rsidR="001D61DB" w:rsidRPr="002A7475" w:rsidRDefault="001D61DB" w:rsidP="001D61DB">
      <w:pPr>
        <w:ind w:left="1080"/>
        <w:contextualSpacing/>
        <w:rPr>
          <w:rFonts w:ascii="Calibri" w:eastAsia="Arial" w:hAnsi="Calibri" w:cs="Calibri"/>
          <w:color w:val="000000"/>
          <w:sz w:val="28"/>
          <w:szCs w:val="28"/>
        </w:rPr>
      </w:pPr>
      <w:r w:rsidRPr="002A7475">
        <w:rPr>
          <w:rFonts w:ascii="Calibri" w:eastAsia="Arial" w:hAnsi="Calibri" w:cs="Calibri"/>
          <w:i/>
          <w:color w:val="000000"/>
          <w:sz w:val="28"/>
          <w:szCs w:val="28"/>
          <w:u w:val="single" w:color="000000"/>
        </w:rPr>
        <w:t>Het reguliere demonstratierechtelijke kader</w:t>
      </w:r>
      <w:r w:rsidRPr="002A7475">
        <w:rPr>
          <w:rFonts w:ascii="Calibri" w:eastAsia="Arial" w:hAnsi="Calibri" w:cs="Calibri"/>
          <w:i/>
          <w:color w:val="000000"/>
          <w:sz w:val="28"/>
          <w:szCs w:val="28"/>
        </w:rPr>
        <w:t xml:space="preserve"> </w:t>
      </w:r>
    </w:p>
    <w:p w14:paraId="241C3025" w14:textId="77777777" w:rsidR="001D61DB" w:rsidRPr="002A7475" w:rsidRDefault="001D61DB" w:rsidP="001D61DB">
      <w:pPr>
        <w:numPr>
          <w:ilvl w:val="0"/>
          <w:numId w:val="15"/>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lastRenderedPageBreak/>
        <w:t xml:space="preserve">Het recht om te demonstreren is een fundamenteel recht dat beschermd wordt in internationale mensenrechtenverdragen als onderdeel van het recht op vrijheid van vreedzame vergadering (zie artikel  11 Europees Verdrag voor de Rechten van de Mens (EVRM). Met de grondwetswijziging van 1983 is ervoor gekozen om dit recht expliciet – naast het reeds bestaande recht tot vergadering – in de Grondwet op te nemen. Artikel 9 Grondwet luidt sindsdien als volgt: </w:t>
      </w:r>
    </w:p>
    <w:p w14:paraId="686FD235" w14:textId="77777777" w:rsidR="001D61DB" w:rsidRPr="002A7475" w:rsidRDefault="001D61DB" w:rsidP="001D61DB">
      <w:pPr>
        <w:ind w:left="756"/>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 </w:t>
      </w:r>
    </w:p>
    <w:p w14:paraId="24E02222" w14:textId="77777777" w:rsidR="001D61DB" w:rsidRPr="002A7475" w:rsidRDefault="001D61DB" w:rsidP="001D61DB">
      <w:pPr>
        <w:spacing w:after="4"/>
        <w:ind w:left="1416"/>
        <w:contextualSpacing/>
        <w:jc w:val="both"/>
        <w:rPr>
          <w:rFonts w:ascii="Calibri" w:eastAsia="Arial" w:hAnsi="Calibri" w:cs="Calibri"/>
          <w:color w:val="000000"/>
          <w:sz w:val="28"/>
          <w:szCs w:val="28"/>
        </w:rPr>
      </w:pPr>
      <w:r w:rsidRPr="002A7475">
        <w:rPr>
          <w:rFonts w:ascii="Calibri" w:eastAsia="Arial" w:hAnsi="Calibri" w:cs="Calibri"/>
          <w:i/>
          <w:color w:val="000000"/>
          <w:sz w:val="28"/>
          <w:szCs w:val="28"/>
        </w:rPr>
        <w:t xml:space="preserve">Het recht tot vergadering en betoging wordt erkend, behoudens ieders verantwoordelijkheid volgens de wet.  </w:t>
      </w:r>
    </w:p>
    <w:p w14:paraId="458A34E3" w14:textId="77777777" w:rsidR="001D61DB" w:rsidRPr="002A7475" w:rsidRDefault="001D61DB" w:rsidP="001D61DB">
      <w:pPr>
        <w:spacing w:after="4"/>
        <w:ind w:left="1416"/>
        <w:contextualSpacing/>
        <w:jc w:val="both"/>
        <w:rPr>
          <w:rFonts w:ascii="Calibri" w:eastAsia="Arial" w:hAnsi="Calibri" w:cs="Calibri"/>
          <w:i/>
          <w:color w:val="000000"/>
          <w:sz w:val="28"/>
          <w:szCs w:val="28"/>
        </w:rPr>
      </w:pPr>
    </w:p>
    <w:p w14:paraId="621BCDB1" w14:textId="77777777" w:rsidR="001D61DB" w:rsidRPr="002A7475" w:rsidRDefault="001D61DB" w:rsidP="001D61DB">
      <w:pPr>
        <w:spacing w:after="4"/>
        <w:ind w:left="1416"/>
        <w:contextualSpacing/>
        <w:jc w:val="both"/>
        <w:rPr>
          <w:rFonts w:ascii="Calibri" w:eastAsia="Arial" w:hAnsi="Calibri" w:cs="Calibri"/>
          <w:color w:val="000000"/>
          <w:sz w:val="28"/>
          <w:szCs w:val="28"/>
        </w:rPr>
      </w:pPr>
      <w:r w:rsidRPr="002A7475">
        <w:rPr>
          <w:rFonts w:ascii="Calibri" w:eastAsia="Arial" w:hAnsi="Calibri" w:cs="Calibri"/>
          <w:i/>
          <w:color w:val="000000"/>
          <w:sz w:val="28"/>
          <w:szCs w:val="28"/>
        </w:rPr>
        <w:t xml:space="preserve">De wet kan regels stellen ter bescherming van de gezondheid, in het belang van het verkeer en ter bestrijding of voorkoming van wanordelijkheden. </w:t>
      </w:r>
    </w:p>
    <w:p w14:paraId="5FAEE859" w14:textId="77777777" w:rsidR="001D61DB" w:rsidRPr="002A7475" w:rsidRDefault="001D61DB" w:rsidP="001D61DB">
      <w:pPr>
        <w:spacing w:after="18"/>
        <w:ind w:left="36"/>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 </w:t>
      </w:r>
    </w:p>
    <w:p w14:paraId="5414917F" w14:textId="77777777" w:rsidR="001D61DB" w:rsidRPr="002A7475" w:rsidRDefault="001D61DB" w:rsidP="001D61DB">
      <w:pPr>
        <w:numPr>
          <w:ilvl w:val="0"/>
          <w:numId w:val="16"/>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De zinsnede ‘behoudens ieders verantwoordelijkheid volgens de wet in art. 9 lid 1 Grondwet betekent dat de betogingsvrijheid kan worden beperkt op basis van een formele wet.</w:t>
      </w:r>
    </w:p>
    <w:p w14:paraId="341E95F2" w14:textId="77777777" w:rsidR="001D61DB" w:rsidRPr="002A7475" w:rsidRDefault="001D61DB" w:rsidP="001D61DB">
      <w:pPr>
        <w:ind w:left="756"/>
        <w:contextualSpacing/>
        <w:rPr>
          <w:rFonts w:ascii="Calibri" w:eastAsia="Arial" w:hAnsi="Calibri" w:cs="Calibri"/>
          <w:color w:val="000000"/>
          <w:sz w:val="28"/>
          <w:szCs w:val="28"/>
        </w:rPr>
      </w:pPr>
      <w:r w:rsidRPr="002A7475">
        <w:rPr>
          <w:rFonts w:ascii="Calibri" w:eastAsia="Arial" w:hAnsi="Calibri" w:cs="Calibri"/>
          <w:color w:val="000000"/>
          <w:sz w:val="28"/>
          <w:szCs w:val="28"/>
        </w:rPr>
        <w:t xml:space="preserve"> </w:t>
      </w:r>
    </w:p>
    <w:p w14:paraId="146B3278" w14:textId="77777777" w:rsidR="001D61DB" w:rsidRPr="002A7475" w:rsidRDefault="001D61DB" w:rsidP="001D61DB">
      <w:pPr>
        <w:numPr>
          <w:ilvl w:val="0"/>
          <w:numId w:val="16"/>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Volgens artikel 9 lid 2 Grondwet mag de formele wetgever zijn bevoegdheid om beperkende maatregelen op te leggen delegeren aan andere bestuursorganen, zoals gemeenteraad of burgemeester. Maar alleen voor zover die maatregelen zien op het beschermen van de gezondheid, het voorkomen van verkeerschaos dan wel het voorkomen of beëindigen van wanordelijkheden. </w:t>
      </w:r>
    </w:p>
    <w:p w14:paraId="6F7BD8FE" w14:textId="77777777" w:rsidR="001D61DB" w:rsidRPr="002A7475" w:rsidRDefault="001D61DB" w:rsidP="001D61DB">
      <w:pPr>
        <w:ind w:left="744"/>
        <w:contextualSpacing/>
        <w:rPr>
          <w:rFonts w:ascii="Calibri" w:eastAsia="Arial" w:hAnsi="Calibri" w:cs="Calibri"/>
          <w:color w:val="000000"/>
          <w:sz w:val="28"/>
          <w:szCs w:val="28"/>
        </w:rPr>
      </w:pPr>
      <w:r w:rsidRPr="002A7475">
        <w:rPr>
          <w:rFonts w:ascii="Calibri" w:eastAsia="Arial" w:hAnsi="Calibri" w:cs="Calibri"/>
          <w:color w:val="000000"/>
          <w:sz w:val="28"/>
          <w:szCs w:val="28"/>
        </w:rPr>
        <w:t xml:space="preserve"> </w:t>
      </w:r>
    </w:p>
    <w:p w14:paraId="7D407956" w14:textId="77777777" w:rsidR="001D61DB" w:rsidRPr="002A7475" w:rsidRDefault="001D61DB" w:rsidP="001D61DB">
      <w:pPr>
        <w:numPr>
          <w:ilvl w:val="0"/>
          <w:numId w:val="16"/>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Van die mogelijkheid is gebruikgemaakt in de Wet openbare manifestaties (</w:t>
      </w:r>
      <w:proofErr w:type="spellStart"/>
      <w:r w:rsidRPr="002A7475">
        <w:rPr>
          <w:rFonts w:ascii="Calibri" w:eastAsia="Arial" w:hAnsi="Calibri" w:cs="Calibri"/>
          <w:color w:val="000000"/>
          <w:sz w:val="28"/>
          <w:szCs w:val="28"/>
        </w:rPr>
        <w:t>Wom</w:t>
      </w:r>
      <w:proofErr w:type="spellEnd"/>
      <w:r w:rsidRPr="002A7475">
        <w:rPr>
          <w:rFonts w:ascii="Calibri" w:eastAsia="Arial" w:hAnsi="Calibri" w:cs="Calibri"/>
          <w:color w:val="000000"/>
          <w:sz w:val="28"/>
          <w:szCs w:val="28"/>
        </w:rPr>
        <w:t xml:space="preserve">). In deze wet is aan de gemeenteraad de bevoegdheid toegekend om te verplichten dat van iedere demonstratie voorafgaand bij de burgemeester kennis wordt gegeven (art. 4 </w:t>
      </w:r>
      <w:proofErr w:type="spellStart"/>
      <w:r w:rsidRPr="002A7475">
        <w:rPr>
          <w:rFonts w:ascii="Calibri" w:eastAsia="Arial" w:hAnsi="Calibri" w:cs="Calibri"/>
          <w:color w:val="000000"/>
          <w:sz w:val="28"/>
          <w:szCs w:val="28"/>
        </w:rPr>
        <w:t>Wom</w:t>
      </w:r>
      <w:proofErr w:type="spellEnd"/>
      <w:r w:rsidRPr="002A7475">
        <w:rPr>
          <w:rFonts w:ascii="Calibri" w:eastAsia="Arial" w:hAnsi="Calibri" w:cs="Calibri"/>
          <w:color w:val="000000"/>
          <w:sz w:val="28"/>
          <w:szCs w:val="28"/>
        </w:rPr>
        <w:t xml:space="preserve">).  </w:t>
      </w:r>
    </w:p>
    <w:p w14:paraId="2D7BDC31" w14:textId="77777777" w:rsidR="001D61DB" w:rsidRPr="002A7475" w:rsidRDefault="001D61DB" w:rsidP="001D61DB">
      <w:pPr>
        <w:ind w:left="744"/>
        <w:contextualSpacing/>
        <w:rPr>
          <w:rFonts w:ascii="Calibri" w:eastAsia="Arial" w:hAnsi="Calibri" w:cs="Calibri"/>
          <w:color w:val="000000"/>
          <w:sz w:val="28"/>
          <w:szCs w:val="28"/>
        </w:rPr>
      </w:pPr>
      <w:r w:rsidRPr="002A7475">
        <w:rPr>
          <w:rFonts w:ascii="Calibri" w:eastAsia="Arial" w:hAnsi="Calibri" w:cs="Calibri"/>
          <w:color w:val="000000"/>
          <w:sz w:val="28"/>
          <w:szCs w:val="28"/>
        </w:rPr>
        <w:t xml:space="preserve"> </w:t>
      </w:r>
    </w:p>
    <w:p w14:paraId="03BB18B3" w14:textId="77777777" w:rsidR="001D61DB" w:rsidRPr="002A7475" w:rsidRDefault="001D61DB" w:rsidP="001D61DB">
      <w:pPr>
        <w:numPr>
          <w:ilvl w:val="0"/>
          <w:numId w:val="16"/>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Op basis hiervan heeft iedere Nederlandse gemeente een voorafgaand kennisgeving van een demonstratie verplicht gesteld. Deze formaliteit dient om de burgemeester in staat te stellen om zijn taak als hoeder van de rechtsstaat naar behoren uit te kunnen oefenen. Enerzijds moet de burgemeester zich </w:t>
      </w:r>
      <w:r w:rsidRPr="002A7475">
        <w:rPr>
          <w:rFonts w:ascii="Calibri" w:eastAsia="Arial" w:hAnsi="Calibri" w:cs="Calibri"/>
          <w:color w:val="000000"/>
          <w:sz w:val="28"/>
          <w:szCs w:val="28"/>
        </w:rPr>
        <w:lastRenderedPageBreak/>
        <w:t xml:space="preserve">inspannen om demonstraties zoveel als redelijkerwijs mogelijk te beschermen en te faciliteren. Anderzijds heeft hij de plicht om de samenleving te behoeden voor fysieke effecten van de demonstratie die onwenselijk zijn. </w:t>
      </w:r>
    </w:p>
    <w:p w14:paraId="3BAF36C9" w14:textId="77777777" w:rsidR="001D61DB" w:rsidRPr="002A7475" w:rsidRDefault="001D61DB" w:rsidP="001D61DB">
      <w:pPr>
        <w:ind w:left="744"/>
        <w:contextualSpacing/>
        <w:rPr>
          <w:rFonts w:ascii="Calibri" w:eastAsia="Arial" w:hAnsi="Calibri" w:cs="Calibri"/>
          <w:color w:val="000000"/>
          <w:sz w:val="28"/>
          <w:szCs w:val="28"/>
        </w:rPr>
      </w:pPr>
      <w:r w:rsidRPr="002A7475">
        <w:rPr>
          <w:rFonts w:ascii="Calibri" w:eastAsia="Arial" w:hAnsi="Calibri" w:cs="Calibri"/>
          <w:color w:val="000000"/>
          <w:sz w:val="28"/>
          <w:szCs w:val="28"/>
        </w:rPr>
        <w:t xml:space="preserve"> </w:t>
      </w:r>
    </w:p>
    <w:p w14:paraId="4BD599DB" w14:textId="77777777" w:rsidR="001D61DB" w:rsidRPr="002A7475" w:rsidRDefault="001D61DB" w:rsidP="001D61DB">
      <w:pPr>
        <w:numPr>
          <w:ilvl w:val="0"/>
          <w:numId w:val="16"/>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Om die reden kan de burgemeester aan een demonstratie van tevoren beperkingen stellen of een verbod geven (artikel 5 </w:t>
      </w:r>
      <w:proofErr w:type="spellStart"/>
      <w:r w:rsidRPr="002A7475">
        <w:rPr>
          <w:rFonts w:ascii="Calibri" w:eastAsia="Arial" w:hAnsi="Calibri" w:cs="Calibri"/>
          <w:color w:val="000000"/>
          <w:sz w:val="28"/>
          <w:szCs w:val="28"/>
        </w:rPr>
        <w:t>Wom</w:t>
      </w:r>
      <w:proofErr w:type="spellEnd"/>
      <w:r w:rsidRPr="002A7475">
        <w:rPr>
          <w:rFonts w:ascii="Calibri" w:eastAsia="Arial" w:hAnsi="Calibri" w:cs="Calibri"/>
          <w:color w:val="000000"/>
          <w:sz w:val="28"/>
          <w:szCs w:val="28"/>
        </w:rPr>
        <w:t xml:space="preserve">). Tijdens een demonstratie kan hij aanwijzingen geven (artikel 6 </w:t>
      </w:r>
      <w:proofErr w:type="spellStart"/>
      <w:r w:rsidRPr="002A7475">
        <w:rPr>
          <w:rFonts w:ascii="Calibri" w:eastAsia="Arial" w:hAnsi="Calibri" w:cs="Calibri"/>
          <w:color w:val="000000"/>
          <w:sz w:val="28"/>
          <w:szCs w:val="28"/>
        </w:rPr>
        <w:t>Wom</w:t>
      </w:r>
      <w:proofErr w:type="spellEnd"/>
      <w:r w:rsidRPr="002A7475">
        <w:rPr>
          <w:rFonts w:ascii="Calibri" w:eastAsia="Arial" w:hAnsi="Calibri" w:cs="Calibri"/>
          <w:color w:val="000000"/>
          <w:sz w:val="28"/>
          <w:szCs w:val="28"/>
        </w:rPr>
        <w:t xml:space="preserve">) of de demonstratie beëindigen (artikel 7 </w:t>
      </w:r>
      <w:proofErr w:type="spellStart"/>
      <w:r w:rsidRPr="002A7475">
        <w:rPr>
          <w:rFonts w:ascii="Calibri" w:eastAsia="Arial" w:hAnsi="Calibri" w:cs="Calibri"/>
          <w:color w:val="000000"/>
          <w:sz w:val="28"/>
          <w:szCs w:val="28"/>
        </w:rPr>
        <w:t>Wom</w:t>
      </w:r>
      <w:proofErr w:type="spellEnd"/>
      <w:r w:rsidRPr="002A7475">
        <w:rPr>
          <w:rFonts w:ascii="Calibri" w:eastAsia="Arial" w:hAnsi="Calibri" w:cs="Calibri"/>
          <w:color w:val="000000"/>
          <w:sz w:val="28"/>
          <w:szCs w:val="28"/>
        </w:rPr>
        <w:t xml:space="preserve">). </w:t>
      </w:r>
    </w:p>
    <w:p w14:paraId="5C7C426B" w14:textId="77777777" w:rsidR="001D61DB" w:rsidRPr="002A7475" w:rsidRDefault="001D61DB" w:rsidP="001D61DB">
      <w:pPr>
        <w:ind w:left="708"/>
        <w:contextualSpacing/>
        <w:rPr>
          <w:rFonts w:ascii="Calibri" w:eastAsia="Arial" w:hAnsi="Calibri" w:cs="Calibri"/>
          <w:color w:val="000000"/>
          <w:sz w:val="28"/>
          <w:szCs w:val="28"/>
        </w:rPr>
      </w:pPr>
    </w:p>
    <w:p w14:paraId="260CF73D" w14:textId="77777777" w:rsidR="001D61DB" w:rsidRPr="002A7475" w:rsidRDefault="001D61DB" w:rsidP="001D61DB">
      <w:pPr>
        <w:numPr>
          <w:ilvl w:val="0"/>
          <w:numId w:val="16"/>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Een verbod alsook een beëindiging wordt gezien als een ultimum remedium en is uitsluitend toegestaan indien minder vergaande beperkende maatregelen onvoldoende soelaas bieden. Van de bovengenoemde bevoegdheden mag de burgemeester nooit en te nimmer gebruikmaken vanwege de inhoud van de betoging. </w:t>
      </w:r>
    </w:p>
    <w:p w14:paraId="5A759602" w14:textId="77777777" w:rsidR="001D61DB" w:rsidRPr="002A7475" w:rsidRDefault="001D61DB" w:rsidP="001D61DB">
      <w:pPr>
        <w:ind w:left="744"/>
        <w:contextualSpacing/>
        <w:rPr>
          <w:rFonts w:ascii="Calibri" w:eastAsia="Arial" w:hAnsi="Calibri" w:cs="Calibri"/>
          <w:color w:val="000000"/>
          <w:sz w:val="28"/>
          <w:szCs w:val="28"/>
        </w:rPr>
      </w:pPr>
      <w:r w:rsidRPr="002A7475">
        <w:rPr>
          <w:rFonts w:ascii="Calibri" w:eastAsia="Arial" w:hAnsi="Calibri" w:cs="Calibri"/>
          <w:color w:val="000000"/>
          <w:sz w:val="28"/>
          <w:szCs w:val="28"/>
        </w:rPr>
        <w:t xml:space="preserve"> </w:t>
      </w:r>
    </w:p>
    <w:p w14:paraId="6C08A311" w14:textId="77777777" w:rsidR="001D61DB" w:rsidRPr="002A7475" w:rsidRDefault="001D61DB" w:rsidP="001D61DB">
      <w:pPr>
        <w:spacing w:after="4"/>
        <w:ind w:left="577" w:hanging="10"/>
        <w:contextualSpacing/>
        <w:rPr>
          <w:rFonts w:ascii="Calibri" w:eastAsia="Arial" w:hAnsi="Calibri" w:cs="Calibri"/>
          <w:b/>
          <w:color w:val="000000"/>
          <w:sz w:val="28"/>
          <w:szCs w:val="28"/>
        </w:rPr>
      </w:pPr>
      <w:r w:rsidRPr="002A7475">
        <w:rPr>
          <w:rFonts w:ascii="Calibri" w:eastAsia="Arial" w:hAnsi="Calibri" w:cs="Calibri"/>
          <w:color w:val="000000"/>
          <w:sz w:val="28"/>
          <w:szCs w:val="28"/>
        </w:rPr>
        <w:t xml:space="preserve">    </w:t>
      </w:r>
      <w:r w:rsidRPr="002A7475">
        <w:rPr>
          <w:rFonts w:ascii="Calibri" w:eastAsia="Arial" w:hAnsi="Calibri" w:cs="Calibri"/>
          <w:b/>
          <w:color w:val="000000"/>
          <w:sz w:val="28"/>
          <w:szCs w:val="28"/>
        </w:rPr>
        <w:t>Het besluit</w:t>
      </w:r>
    </w:p>
    <w:p w14:paraId="09CB8A10" w14:textId="2320940B" w:rsidR="001D61DB" w:rsidRPr="002A7475" w:rsidRDefault="001D61DB" w:rsidP="001D61DB">
      <w:pPr>
        <w:ind w:left="756"/>
        <w:contextualSpacing/>
        <w:rPr>
          <w:rFonts w:ascii="Calibri" w:eastAsia="Arial" w:hAnsi="Calibri" w:cs="Calibri"/>
          <w:color w:val="000000"/>
          <w:sz w:val="28"/>
          <w:szCs w:val="28"/>
        </w:rPr>
      </w:pPr>
      <w:r w:rsidRPr="002A7475">
        <w:rPr>
          <w:rFonts w:ascii="Calibri" w:eastAsia="Arial" w:hAnsi="Calibri" w:cs="Calibri"/>
          <w:color w:val="000000"/>
          <w:sz w:val="28"/>
          <w:szCs w:val="28"/>
        </w:rPr>
        <w:t xml:space="preserve"> Het verbod is gebaseerd op volgende gronden: </w:t>
      </w:r>
    </w:p>
    <w:p w14:paraId="607C361E" w14:textId="77777777" w:rsidR="001D61DB" w:rsidRPr="002A7475" w:rsidRDefault="001D61DB" w:rsidP="001D61DB">
      <w:pPr>
        <w:ind w:left="784"/>
        <w:contextualSpacing/>
        <w:jc w:val="both"/>
        <w:rPr>
          <w:rFonts w:ascii="Calibri" w:eastAsia="Arial" w:hAnsi="Calibri" w:cs="Calibri"/>
          <w:color w:val="000000"/>
          <w:sz w:val="28"/>
          <w:szCs w:val="28"/>
        </w:rPr>
      </w:pPr>
    </w:p>
    <w:p w14:paraId="1835007B" w14:textId="77777777" w:rsidR="001D61DB" w:rsidRPr="002A7475" w:rsidRDefault="001D61DB" w:rsidP="001D61DB">
      <w:pPr>
        <w:numPr>
          <w:ilvl w:val="0"/>
          <w:numId w:val="18"/>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In Nederland is sprake van een coronacrisis. De situatie in de Gooi- en </w:t>
      </w:r>
      <w:proofErr w:type="spellStart"/>
      <w:r w:rsidRPr="002A7475">
        <w:rPr>
          <w:rFonts w:ascii="Calibri" w:eastAsia="Arial" w:hAnsi="Calibri" w:cs="Calibri"/>
          <w:color w:val="000000"/>
          <w:sz w:val="28"/>
          <w:szCs w:val="28"/>
        </w:rPr>
        <w:t>Vechtsstreek</w:t>
      </w:r>
      <w:proofErr w:type="spellEnd"/>
      <w:r w:rsidRPr="002A7475">
        <w:rPr>
          <w:rFonts w:ascii="Calibri" w:eastAsia="Arial" w:hAnsi="Calibri" w:cs="Calibri"/>
          <w:color w:val="000000"/>
          <w:sz w:val="28"/>
          <w:szCs w:val="28"/>
        </w:rPr>
        <w:t xml:space="preserve"> en de rest van </w:t>
      </w:r>
      <w:proofErr w:type="spellStart"/>
      <w:r w:rsidRPr="002A7475">
        <w:rPr>
          <w:rFonts w:ascii="Calibri" w:eastAsia="Arial" w:hAnsi="Calibri" w:cs="Calibri"/>
          <w:color w:val="000000"/>
          <w:sz w:val="28"/>
          <w:szCs w:val="28"/>
        </w:rPr>
        <w:t>nederland</w:t>
      </w:r>
      <w:proofErr w:type="spellEnd"/>
      <w:r w:rsidRPr="002A7475">
        <w:rPr>
          <w:rFonts w:ascii="Calibri" w:eastAsia="Arial" w:hAnsi="Calibri" w:cs="Calibri"/>
          <w:color w:val="000000"/>
          <w:sz w:val="28"/>
          <w:szCs w:val="28"/>
        </w:rPr>
        <w:t xml:space="preserve"> zou het hoogste risiconiveau “zeer ernstig” hebben.</w:t>
      </w:r>
    </w:p>
    <w:p w14:paraId="44603185" w14:textId="77777777" w:rsidR="001D61DB" w:rsidRPr="002A7475" w:rsidRDefault="001D61DB" w:rsidP="001D61DB">
      <w:pPr>
        <w:numPr>
          <w:ilvl w:val="0"/>
          <w:numId w:val="18"/>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Er gelden stringente maatregelen waardoor bij demonstraties en andere samenkomsten personen verplicht zijn 1,5 meter afstand van elkaar te houden.</w:t>
      </w:r>
    </w:p>
    <w:p w14:paraId="3958960E" w14:textId="77777777" w:rsidR="001D61DB" w:rsidRPr="002A7475" w:rsidRDefault="001D61DB" w:rsidP="001D61DB">
      <w:pPr>
        <w:numPr>
          <w:ilvl w:val="0"/>
          <w:numId w:val="18"/>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Bij grote demonstraties zou de veilige afstand niet consequent nageleefd worden. Het toezicht houden op de naleving van de regels zou bij grote demonstraties moeilijk zijn.</w:t>
      </w:r>
    </w:p>
    <w:p w14:paraId="16816FA7" w14:textId="77777777" w:rsidR="001D61DB" w:rsidRPr="002A7475" w:rsidRDefault="001D61DB" w:rsidP="001D61DB">
      <w:pPr>
        <w:numPr>
          <w:ilvl w:val="0"/>
          <w:numId w:val="18"/>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Demonstraties zouden volgens een advies van de GGD alleen met voldoende afstand en staand moeten plaatsvinden. Bij verplaatsingen zou het moeilijker zijn afstand te houden.</w:t>
      </w:r>
    </w:p>
    <w:p w14:paraId="7EA527F7" w14:textId="77777777" w:rsidR="001D61DB" w:rsidRPr="002A7475" w:rsidRDefault="001D61DB" w:rsidP="001D61DB">
      <w:pPr>
        <w:numPr>
          <w:ilvl w:val="0"/>
          <w:numId w:val="18"/>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Demonstraties zouden niet groter mogen zijn dan 150 tot 200 personen</w:t>
      </w:r>
    </w:p>
    <w:p w14:paraId="20FB27D1" w14:textId="77777777" w:rsidR="001D61DB" w:rsidRPr="002A7475" w:rsidRDefault="001D61DB" w:rsidP="001D61DB">
      <w:pPr>
        <w:numPr>
          <w:ilvl w:val="0"/>
          <w:numId w:val="18"/>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Het bevoegde gezag heeft het besluit genomen om dynamische betogen niet toe te staan. Dit geldt dus ook voor deze mars.</w:t>
      </w:r>
    </w:p>
    <w:p w14:paraId="5E3344C8" w14:textId="77777777" w:rsidR="001D61DB" w:rsidRPr="002A7475" w:rsidRDefault="001D61DB" w:rsidP="001D61DB">
      <w:pPr>
        <w:ind w:left="1836"/>
        <w:contextualSpacing/>
        <w:rPr>
          <w:rFonts w:ascii="Calibri" w:eastAsia="Arial" w:hAnsi="Calibri" w:cs="Calibri"/>
          <w:color w:val="000000"/>
          <w:sz w:val="28"/>
          <w:szCs w:val="28"/>
        </w:rPr>
      </w:pPr>
    </w:p>
    <w:p w14:paraId="6FE28DE9" w14:textId="77777777" w:rsidR="001D61DB" w:rsidRPr="002A7475" w:rsidRDefault="001D61DB" w:rsidP="001D61DB">
      <w:pPr>
        <w:ind w:left="1157"/>
        <w:contextualSpacing/>
        <w:rPr>
          <w:rFonts w:ascii="Calibri" w:eastAsia="Arial" w:hAnsi="Calibri" w:cs="Calibri"/>
          <w:b/>
          <w:bCs/>
          <w:color w:val="000000"/>
          <w:sz w:val="28"/>
          <w:szCs w:val="28"/>
        </w:rPr>
      </w:pPr>
      <w:r w:rsidRPr="002A7475">
        <w:rPr>
          <w:rFonts w:ascii="Calibri" w:eastAsia="Arial" w:hAnsi="Calibri" w:cs="Calibri"/>
          <w:b/>
          <w:bCs/>
          <w:color w:val="000000"/>
          <w:sz w:val="28"/>
          <w:szCs w:val="28"/>
        </w:rPr>
        <w:lastRenderedPageBreak/>
        <w:t>Bezwaargronden</w:t>
      </w:r>
    </w:p>
    <w:p w14:paraId="616B1B01" w14:textId="77777777" w:rsidR="001D61DB" w:rsidRPr="002A7475" w:rsidRDefault="001D61DB" w:rsidP="001D61DB">
      <w:pPr>
        <w:numPr>
          <w:ilvl w:val="0"/>
          <w:numId w:val="17"/>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 Tegen dit besluit worden volgende bezwaargronden aangevoerd:</w:t>
      </w:r>
    </w:p>
    <w:p w14:paraId="64F7DCD6" w14:textId="77777777" w:rsidR="001D61DB" w:rsidRPr="002A7475" w:rsidRDefault="001D61DB" w:rsidP="001D61DB">
      <w:pPr>
        <w:numPr>
          <w:ilvl w:val="0"/>
          <w:numId w:val="18"/>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(a) Niet voldaan aan voorwaarde voor een aangepast demonstratierechtelijk regime. </w:t>
      </w:r>
    </w:p>
    <w:p w14:paraId="13DFF807" w14:textId="77777777" w:rsidR="001D61DB" w:rsidRPr="002A7475" w:rsidRDefault="001D61DB" w:rsidP="001D61DB">
      <w:pPr>
        <w:numPr>
          <w:ilvl w:val="0"/>
          <w:numId w:val="18"/>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(b) Er is sprake van een motiveringsgebreken</w:t>
      </w:r>
    </w:p>
    <w:p w14:paraId="123AE8CE" w14:textId="77777777" w:rsidR="001D61DB" w:rsidRPr="002A7475" w:rsidRDefault="001D61DB" w:rsidP="001D61DB">
      <w:pPr>
        <w:numPr>
          <w:ilvl w:val="0"/>
          <w:numId w:val="18"/>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(c) Een zorgvuldige belangenafweging ontbreekt.</w:t>
      </w:r>
    </w:p>
    <w:p w14:paraId="7901EC84" w14:textId="77777777" w:rsidR="001D61DB" w:rsidRPr="002A7475" w:rsidRDefault="001D61DB" w:rsidP="001D61DB">
      <w:pPr>
        <w:numPr>
          <w:ilvl w:val="0"/>
          <w:numId w:val="18"/>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(d) Strijd met gelijkheidsbeginsel.</w:t>
      </w:r>
    </w:p>
    <w:p w14:paraId="59DB814F" w14:textId="330F67E8" w:rsidR="001D61DB" w:rsidRPr="002A7475" w:rsidRDefault="001D61DB" w:rsidP="00373819">
      <w:pPr>
        <w:ind w:left="1836"/>
        <w:contextualSpacing/>
        <w:jc w:val="both"/>
        <w:rPr>
          <w:rFonts w:ascii="Calibri" w:eastAsia="Arial" w:hAnsi="Calibri" w:cs="Calibri"/>
          <w:color w:val="000000"/>
          <w:sz w:val="28"/>
          <w:szCs w:val="28"/>
        </w:rPr>
      </w:pPr>
    </w:p>
    <w:p w14:paraId="54FC8931" w14:textId="77777777" w:rsidR="001D61DB" w:rsidRPr="002A7475" w:rsidRDefault="001D61DB" w:rsidP="001D61DB">
      <w:pPr>
        <w:ind w:left="1416"/>
        <w:contextualSpacing/>
        <w:jc w:val="both"/>
        <w:rPr>
          <w:rFonts w:ascii="Calibri" w:eastAsia="Arial" w:hAnsi="Calibri" w:cs="Calibri"/>
          <w:color w:val="000000"/>
          <w:sz w:val="28"/>
          <w:szCs w:val="28"/>
        </w:rPr>
      </w:pPr>
    </w:p>
    <w:p w14:paraId="7728004D" w14:textId="77777777" w:rsidR="001D61DB" w:rsidRPr="002A7475" w:rsidRDefault="001D61DB" w:rsidP="001D61DB">
      <w:pPr>
        <w:numPr>
          <w:ilvl w:val="0"/>
          <w:numId w:val="19"/>
        </w:numPr>
        <w:contextualSpacing/>
        <w:jc w:val="both"/>
        <w:rPr>
          <w:rFonts w:ascii="Calibri" w:eastAsia="Arial" w:hAnsi="Calibri" w:cs="Calibri"/>
          <w:b/>
          <w:bCs/>
          <w:color w:val="000000"/>
          <w:sz w:val="28"/>
          <w:szCs w:val="28"/>
        </w:rPr>
      </w:pPr>
      <w:r w:rsidRPr="002A7475">
        <w:rPr>
          <w:rFonts w:ascii="Calibri" w:eastAsia="Arial" w:hAnsi="Calibri" w:cs="Calibri"/>
          <w:b/>
          <w:bCs/>
          <w:color w:val="000000"/>
          <w:sz w:val="28"/>
          <w:szCs w:val="28"/>
        </w:rPr>
        <w:t xml:space="preserve">Niet voldaan aan voorwaarden voor een aangepast demonstratierechtelijk regime </w:t>
      </w:r>
    </w:p>
    <w:p w14:paraId="54A09291" w14:textId="77777777" w:rsidR="001D61DB" w:rsidRPr="002A7475" w:rsidRDefault="001D61DB" w:rsidP="001D61DB">
      <w:pPr>
        <w:numPr>
          <w:ilvl w:val="0"/>
          <w:numId w:val="17"/>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De burgemeester onderbouwt het verbod met een verwijzing naar een besluit dat “op het niveau van Midden-Nederland door het bevoegde gezag is genomen om dynamische betogingen niet toe te staan.” Op basis van dit besluit is ook deze demonstratie verboden. </w:t>
      </w:r>
    </w:p>
    <w:p w14:paraId="2F23A39C" w14:textId="77777777" w:rsidR="001D61DB" w:rsidRPr="002A7475" w:rsidRDefault="001D61DB" w:rsidP="001D61DB">
      <w:pPr>
        <w:ind w:left="1157"/>
        <w:contextualSpacing/>
        <w:jc w:val="both"/>
        <w:rPr>
          <w:rFonts w:ascii="Calibri" w:eastAsia="Arial" w:hAnsi="Calibri" w:cs="Calibri"/>
          <w:color w:val="000000"/>
          <w:sz w:val="28"/>
          <w:szCs w:val="28"/>
        </w:rPr>
      </w:pPr>
    </w:p>
    <w:p w14:paraId="054876D6" w14:textId="77777777" w:rsidR="001D61DB" w:rsidRPr="002A7475" w:rsidRDefault="001D61DB" w:rsidP="001D61DB">
      <w:pPr>
        <w:numPr>
          <w:ilvl w:val="0"/>
          <w:numId w:val="17"/>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Het reguliere demonstratierechtelijke kader is volgens de burgemeester dus kennelijk niet van toepassing. Ook ontbreekt een onderbouwing wie dan het bevoegde gezag op dit moment is. Volgens de wet is immers de burgemeester bevoegd. </w:t>
      </w:r>
    </w:p>
    <w:p w14:paraId="48039714" w14:textId="77777777" w:rsidR="001D61DB" w:rsidRPr="002A7475" w:rsidRDefault="001D61DB" w:rsidP="001D61DB">
      <w:pPr>
        <w:ind w:left="708"/>
        <w:contextualSpacing/>
        <w:jc w:val="both"/>
        <w:rPr>
          <w:rFonts w:ascii="Calibri" w:eastAsia="Arial" w:hAnsi="Calibri" w:cs="Calibri"/>
          <w:color w:val="000000"/>
          <w:sz w:val="28"/>
          <w:szCs w:val="28"/>
        </w:rPr>
      </w:pPr>
    </w:p>
    <w:p w14:paraId="4CC7C1F7" w14:textId="77777777" w:rsidR="001D61DB" w:rsidRPr="002A7475" w:rsidRDefault="001D61DB" w:rsidP="001D61DB">
      <w:pPr>
        <w:numPr>
          <w:ilvl w:val="0"/>
          <w:numId w:val="17"/>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Een noodrechtelijk aangepast demonstratierechtelijk regime is echter uitsluitend onder strikte voorwaarden mogelijk. </w:t>
      </w:r>
    </w:p>
    <w:p w14:paraId="2669098F" w14:textId="77777777" w:rsidR="001D61DB" w:rsidRPr="002A7475" w:rsidRDefault="001D61DB" w:rsidP="001D61DB">
      <w:pPr>
        <w:ind w:left="708"/>
        <w:contextualSpacing/>
        <w:jc w:val="both"/>
        <w:rPr>
          <w:rFonts w:ascii="Calibri" w:eastAsia="Arial" w:hAnsi="Calibri" w:cs="Calibri"/>
          <w:color w:val="000000"/>
          <w:sz w:val="28"/>
          <w:szCs w:val="28"/>
        </w:rPr>
      </w:pPr>
    </w:p>
    <w:p w14:paraId="26A06AD9" w14:textId="77777777" w:rsidR="001D61DB" w:rsidRPr="002A7475" w:rsidRDefault="001D61DB" w:rsidP="001D61DB">
      <w:pPr>
        <w:numPr>
          <w:ilvl w:val="0"/>
          <w:numId w:val="17"/>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Indien buitengewone omstandigheden dit noodzakelijk maken, kan ter handhaving van de uitwendige of inwendige veiligheid in een uitzonderingstoestand in de zin van art. 1 lid 1 Coördinatiewet uitzonderingstoestanden het normale WOM-regime terzijde worden geschoven. </w:t>
      </w:r>
    </w:p>
    <w:p w14:paraId="732FCDA3" w14:textId="77777777" w:rsidR="001D61DB" w:rsidRPr="002A7475" w:rsidRDefault="001D61DB" w:rsidP="001D61DB">
      <w:pPr>
        <w:ind w:left="708"/>
        <w:contextualSpacing/>
        <w:rPr>
          <w:rFonts w:ascii="Calibri" w:eastAsia="Arial" w:hAnsi="Calibri" w:cs="Calibri"/>
          <w:color w:val="000000"/>
          <w:sz w:val="28"/>
          <w:szCs w:val="28"/>
        </w:rPr>
      </w:pPr>
    </w:p>
    <w:p w14:paraId="0BF0D902" w14:textId="77777777" w:rsidR="001D61DB" w:rsidRPr="002A7475" w:rsidRDefault="001D61DB" w:rsidP="001D61DB">
      <w:pPr>
        <w:numPr>
          <w:ilvl w:val="0"/>
          <w:numId w:val="17"/>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Hiertoe dient eerst een uitzonderingstoestand – met andere woorden: een noodtoestand – bij koninklijk besluit op voordracht van de minister-president te worden afgekondigd. </w:t>
      </w:r>
    </w:p>
    <w:p w14:paraId="31C1DFB2" w14:textId="77777777" w:rsidR="001D61DB" w:rsidRPr="002A7475" w:rsidRDefault="001D61DB" w:rsidP="001D61DB">
      <w:pPr>
        <w:ind w:left="756"/>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 </w:t>
      </w:r>
    </w:p>
    <w:p w14:paraId="75AF6B74" w14:textId="77777777" w:rsidR="001D61DB" w:rsidRPr="002A7475" w:rsidRDefault="001D61DB" w:rsidP="001D61DB">
      <w:pPr>
        <w:numPr>
          <w:ilvl w:val="0"/>
          <w:numId w:val="17"/>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Alleen tijdens de algemene noodtoestand – en dus niet bij de beperkte noodtoestand – kan het regime van de Wet openbare manifestaties worden vervangen door een ander demonstratierechtelijk regime (zie artikel 8 lid 1 en lijst B </w:t>
      </w:r>
      <w:r w:rsidRPr="002A7475">
        <w:rPr>
          <w:rFonts w:ascii="Calibri" w:eastAsia="Arial" w:hAnsi="Calibri" w:cs="Calibri"/>
          <w:color w:val="000000"/>
          <w:sz w:val="28"/>
          <w:szCs w:val="28"/>
        </w:rPr>
        <w:lastRenderedPageBreak/>
        <w:t>Coördinatiewet uitzonderingstoestanden juncto artikel 11 Wet buitengewone bevoegdheden burgerlijk gezag (</w:t>
      </w:r>
      <w:proofErr w:type="spellStart"/>
      <w:r w:rsidRPr="002A7475">
        <w:rPr>
          <w:rFonts w:ascii="Calibri" w:eastAsia="Arial" w:hAnsi="Calibri" w:cs="Calibri"/>
          <w:color w:val="000000"/>
          <w:sz w:val="28"/>
          <w:szCs w:val="28"/>
        </w:rPr>
        <w:t>Wbbbg</w:t>
      </w:r>
      <w:proofErr w:type="spellEnd"/>
      <w:r w:rsidRPr="002A7475">
        <w:rPr>
          <w:rFonts w:ascii="Calibri" w:eastAsia="Arial" w:hAnsi="Calibri" w:cs="Calibri"/>
          <w:color w:val="000000"/>
          <w:sz w:val="28"/>
          <w:szCs w:val="28"/>
        </w:rPr>
        <w:t xml:space="preserve">)). </w:t>
      </w:r>
    </w:p>
    <w:p w14:paraId="65BA3F65" w14:textId="77777777" w:rsidR="001D61DB" w:rsidRPr="002A7475" w:rsidRDefault="001D61DB" w:rsidP="001D61DB">
      <w:pPr>
        <w:ind w:left="708"/>
        <w:contextualSpacing/>
        <w:rPr>
          <w:rFonts w:ascii="Calibri" w:eastAsia="Arial" w:hAnsi="Calibri" w:cs="Calibri"/>
          <w:color w:val="000000"/>
          <w:sz w:val="28"/>
          <w:szCs w:val="28"/>
        </w:rPr>
      </w:pPr>
    </w:p>
    <w:p w14:paraId="351EE214" w14:textId="77777777" w:rsidR="001D61DB" w:rsidRPr="002A7475" w:rsidRDefault="001D61DB" w:rsidP="001D61DB">
      <w:pPr>
        <w:numPr>
          <w:ilvl w:val="0"/>
          <w:numId w:val="17"/>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Nu geen algemene noodtoestand werd afgekondigd, kan geen gewijzigd regime toegepast worden. De burgemeester kan dan ook geen demonstratie verbieden onder verwijzing naar een door een ander “bevoegd gezag” genomen besluit om in het algemeen alle “dynamische betogingen” te verbieden. Een generiek verbod op bepaalde vormen van demonstraties is overigens per definitie niet toegelaten. Hiermee kan dit verbod geen stand houden.</w:t>
      </w:r>
    </w:p>
    <w:p w14:paraId="7CD3F1AD" w14:textId="77777777" w:rsidR="001D61DB" w:rsidRPr="002A7475" w:rsidRDefault="001D61DB" w:rsidP="001D61DB">
      <w:pPr>
        <w:ind w:left="708"/>
        <w:contextualSpacing/>
        <w:rPr>
          <w:rFonts w:ascii="Calibri" w:eastAsia="Arial" w:hAnsi="Calibri" w:cs="Calibri"/>
          <w:color w:val="000000"/>
          <w:sz w:val="28"/>
          <w:szCs w:val="28"/>
        </w:rPr>
      </w:pPr>
    </w:p>
    <w:p w14:paraId="69EB86EF" w14:textId="0348F923" w:rsidR="001D61DB" w:rsidRPr="002A7475" w:rsidRDefault="001D61DB" w:rsidP="001D61DB">
      <w:pPr>
        <w:numPr>
          <w:ilvl w:val="0"/>
          <w:numId w:val="17"/>
        </w:numPr>
        <w:spacing w:after="4"/>
        <w:ind w:right="558"/>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Ten overvloede wijzen verzoekers op het ontbreken van omstandigheden die het uitroepen van een noodtoestand en het inperken van fundamentele grondrechten kan rechtvaardigen. De burgemeester doet hier immers een beroep op noodmaatregelen. Hiervoor gelden strenge criteria. </w:t>
      </w:r>
    </w:p>
    <w:p w14:paraId="0BA4803B" w14:textId="77777777" w:rsidR="001D61DB" w:rsidRPr="002A7475" w:rsidRDefault="001D61DB" w:rsidP="001D61DB">
      <w:pPr>
        <w:ind w:left="708"/>
        <w:contextualSpacing/>
        <w:rPr>
          <w:rFonts w:ascii="Calibri" w:eastAsia="Arial" w:hAnsi="Calibri" w:cs="Calibri"/>
          <w:color w:val="000000"/>
          <w:sz w:val="28"/>
          <w:szCs w:val="28"/>
        </w:rPr>
      </w:pPr>
    </w:p>
    <w:p w14:paraId="40D7FF25" w14:textId="77777777" w:rsidR="001D61DB" w:rsidRPr="002A7475" w:rsidRDefault="001D61DB" w:rsidP="001D61DB">
      <w:pPr>
        <w:numPr>
          <w:ilvl w:val="0"/>
          <w:numId w:val="17"/>
        </w:numPr>
        <w:autoSpaceDE w:val="0"/>
        <w:autoSpaceDN w:val="0"/>
        <w:adjustRightInd w:val="0"/>
        <w:contextualSpacing/>
        <w:jc w:val="both"/>
        <w:rPr>
          <w:rFonts w:ascii="Calibri" w:hAnsi="Calibri" w:cs="Calibri"/>
          <w:i/>
          <w:iCs/>
          <w:color w:val="000000"/>
          <w:sz w:val="28"/>
          <w:szCs w:val="28"/>
        </w:rPr>
      </w:pPr>
      <w:r w:rsidRPr="002A7475">
        <w:rPr>
          <w:rFonts w:ascii="Calibri" w:eastAsia="Arial" w:hAnsi="Calibri" w:cs="Calibri"/>
          <w:color w:val="000000"/>
          <w:sz w:val="28"/>
          <w:szCs w:val="28"/>
        </w:rPr>
        <w:t xml:space="preserve">In de </w:t>
      </w:r>
      <w:proofErr w:type="spellStart"/>
      <w:r w:rsidRPr="002A7475">
        <w:rPr>
          <w:rFonts w:ascii="Calibri" w:eastAsia="Arial" w:hAnsi="Calibri" w:cs="Calibri"/>
          <w:i/>
          <w:iCs/>
          <w:color w:val="000000"/>
          <w:sz w:val="28"/>
          <w:szCs w:val="28"/>
        </w:rPr>
        <w:t>Guidelines</w:t>
      </w:r>
      <w:proofErr w:type="spellEnd"/>
      <w:r w:rsidRPr="002A7475">
        <w:rPr>
          <w:rFonts w:ascii="Calibri" w:eastAsia="Arial" w:hAnsi="Calibri" w:cs="Calibri"/>
          <w:i/>
          <w:iCs/>
          <w:color w:val="000000"/>
          <w:sz w:val="28"/>
          <w:szCs w:val="28"/>
        </w:rPr>
        <w:t xml:space="preserve"> on </w:t>
      </w:r>
      <w:proofErr w:type="spellStart"/>
      <w:r w:rsidRPr="002A7475">
        <w:rPr>
          <w:rFonts w:ascii="Calibri" w:eastAsia="Arial" w:hAnsi="Calibri" w:cs="Calibri"/>
          <w:i/>
          <w:iCs/>
          <w:color w:val="000000"/>
          <w:sz w:val="28"/>
          <w:szCs w:val="28"/>
        </w:rPr>
        <w:t>Freedom</w:t>
      </w:r>
      <w:proofErr w:type="spellEnd"/>
      <w:r w:rsidRPr="002A7475">
        <w:rPr>
          <w:rFonts w:ascii="Calibri" w:eastAsia="Arial" w:hAnsi="Calibri" w:cs="Calibri"/>
          <w:i/>
          <w:iCs/>
          <w:color w:val="000000"/>
          <w:sz w:val="28"/>
          <w:szCs w:val="28"/>
        </w:rPr>
        <w:t xml:space="preserve"> of </w:t>
      </w:r>
      <w:proofErr w:type="spellStart"/>
      <w:r w:rsidRPr="002A7475">
        <w:rPr>
          <w:rFonts w:ascii="Calibri" w:eastAsia="Arial" w:hAnsi="Calibri" w:cs="Calibri"/>
          <w:i/>
          <w:iCs/>
          <w:color w:val="000000"/>
          <w:sz w:val="28"/>
          <w:szCs w:val="28"/>
        </w:rPr>
        <w:t>Peacful</w:t>
      </w:r>
      <w:proofErr w:type="spellEnd"/>
      <w:r w:rsidRPr="002A7475">
        <w:rPr>
          <w:rFonts w:ascii="Calibri" w:eastAsia="Arial" w:hAnsi="Calibri" w:cs="Calibri"/>
          <w:i/>
          <w:iCs/>
          <w:color w:val="000000"/>
          <w:sz w:val="28"/>
          <w:szCs w:val="28"/>
        </w:rPr>
        <w:t xml:space="preserve"> Assembly </w:t>
      </w:r>
      <w:r w:rsidRPr="002A7475">
        <w:rPr>
          <w:rFonts w:ascii="Calibri" w:eastAsia="Arial" w:hAnsi="Calibri" w:cs="Calibri"/>
          <w:color w:val="000000"/>
          <w:sz w:val="28"/>
          <w:szCs w:val="28"/>
        </w:rPr>
        <w:t xml:space="preserve">van de </w:t>
      </w:r>
      <w:proofErr w:type="spellStart"/>
      <w:r w:rsidRPr="002A7475">
        <w:rPr>
          <w:rFonts w:ascii="Calibri" w:eastAsia="Arial" w:hAnsi="Calibri" w:cs="Calibri"/>
          <w:color w:val="000000"/>
          <w:sz w:val="28"/>
          <w:szCs w:val="28"/>
        </w:rPr>
        <w:t>Venice</w:t>
      </w:r>
      <w:proofErr w:type="spellEnd"/>
      <w:r w:rsidRPr="002A7475">
        <w:rPr>
          <w:rFonts w:ascii="Calibri" w:eastAsia="Arial" w:hAnsi="Calibri" w:cs="Calibri"/>
          <w:color w:val="000000"/>
          <w:sz w:val="28"/>
          <w:szCs w:val="28"/>
        </w:rPr>
        <w:t xml:space="preserve"> </w:t>
      </w:r>
      <w:proofErr w:type="spellStart"/>
      <w:r w:rsidRPr="002A7475">
        <w:rPr>
          <w:rFonts w:ascii="Calibri" w:eastAsia="Arial" w:hAnsi="Calibri" w:cs="Calibri"/>
          <w:color w:val="000000"/>
          <w:sz w:val="28"/>
          <w:szCs w:val="28"/>
        </w:rPr>
        <w:t>Commission</w:t>
      </w:r>
      <w:proofErr w:type="spellEnd"/>
      <w:r w:rsidRPr="002A7475">
        <w:rPr>
          <w:rFonts w:ascii="Calibri" w:eastAsia="Arial" w:hAnsi="Calibri" w:cs="Calibri"/>
          <w:color w:val="000000"/>
          <w:sz w:val="28"/>
          <w:szCs w:val="28"/>
        </w:rPr>
        <w:t xml:space="preserve"> van de Raad van Europa uit 2019 wordt benadrukt dat dergelijke inperkingen uitsluitend toegelaten zijn in geval van een </w:t>
      </w:r>
      <w:r w:rsidRPr="002A7475">
        <w:rPr>
          <w:rFonts w:ascii="Calibri" w:eastAsia="Arial" w:hAnsi="Calibri" w:cs="Calibri"/>
          <w:i/>
          <w:iCs/>
          <w:color w:val="000000"/>
          <w:sz w:val="28"/>
          <w:szCs w:val="28"/>
        </w:rPr>
        <w:t>reële en acute bedreiging die de hele bevolking en het voortbestaan van de samenleving bedreigt.</w:t>
      </w:r>
      <w:r w:rsidRPr="002A7475">
        <w:rPr>
          <w:rFonts w:ascii="Calibri" w:eastAsia="Arial" w:hAnsi="Calibri" w:cs="Calibri"/>
          <w:color w:val="000000"/>
          <w:sz w:val="28"/>
          <w:szCs w:val="28"/>
        </w:rPr>
        <w:t xml:space="preserve"> Deze richtlijn is gebaseerd op de jurisprudentie van het Europese Hof voor de Rechten van de Mens.</w:t>
      </w:r>
      <w:r w:rsidRPr="002A7475">
        <w:rPr>
          <w:rFonts w:ascii="Calibri" w:eastAsia="Arial" w:hAnsi="Calibri" w:cs="Calibri"/>
          <w:i/>
          <w:iCs/>
          <w:color w:val="000000"/>
          <w:sz w:val="28"/>
          <w:szCs w:val="28"/>
        </w:rPr>
        <w:t xml:space="preserve"> </w:t>
      </w:r>
      <w:r w:rsidRPr="002A7475">
        <w:rPr>
          <w:rFonts w:ascii="Calibri" w:eastAsia="Arial" w:hAnsi="Calibri" w:cs="Calibri"/>
          <w:color w:val="000000"/>
          <w:sz w:val="28"/>
          <w:szCs w:val="28"/>
        </w:rPr>
        <w:t xml:space="preserve">Genomen maatregelen moeten naar plaats en tijd beperkt zijn en mogen niet gebruikt worden om beperkingen om protesten en uitdrukkingen van afwijkende meningen te rechtvaardigen: </w:t>
      </w:r>
    </w:p>
    <w:p w14:paraId="3964129F" w14:textId="77777777" w:rsidR="001D61DB" w:rsidRPr="002A7475" w:rsidRDefault="001D61DB" w:rsidP="001D61DB">
      <w:pPr>
        <w:ind w:left="708"/>
        <w:contextualSpacing/>
        <w:rPr>
          <w:rFonts w:ascii="Calibri" w:eastAsia="Arial" w:hAnsi="Calibri" w:cs="Calibri"/>
          <w:color w:val="000000"/>
          <w:sz w:val="28"/>
          <w:szCs w:val="28"/>
        </w:rPr>
      </w:pPr>
    </w:p>
    <w:p w14:paraId="4F2B31FB" w14:textId="77777777" w:rsidR="001D61DB" w:rsidRPr="002A7475" w:rsidRDefault="001D61DB" w:rsidP="001D61DB">
      <w:pPr>
        <w:autoSpaceDE w:val="0"/>
        <w:autoSpaceDN w:val="0"/>
        <w:adjustRightInd w:val="0"/>
        <w:ind w:left="1416"/>
        <w:contextualSpacing/>
        <w:jc w:val="both"/>
        <w:rPr>
          <w:rFonts w:ascii="Calibri" w:hAnsi="Calibri" w:cs="Calibri"/>
          <w:i/>
          <w:iCs/>
          <w:color w:val="000000"/>
          <w:sz w:val="28"/>
          <w:szCs w:val="28"/>
          <w:lang w:val="en-GB"/>
        </w:rPr>
      </w:pPr>
      <w:r w:rsidRPr="002A7475">
        <w:rPr>
          <w:rFonts w:ascii="Calibri" w:hAnsi="Calibri" w:cs="Calibri"/>
          <w:i/>
          <w:iCs/>
          <w:color w:val="000000"/>
          <w:sz w:val="28"/>
          <w:szCs w:val="28"/>
          <w:lang w:val="en-GB"/>
        </w:rPr>
        <w:t xml:space="preserve">“92. </w:t>
      </w:r>
      <w:r w:rsidRPr="002A7475">
        <w:rPr>
          <w:rFonts w:ascii="Calibri" w:hAnsi="Calibri" w:cs="Calibri"/>
          <w:b/>
          <w:bCs/>
          <w:i/>
          <w:iCs/>
          <w:color w:val="000000"/>
          <w:sz w:val="28"/>
          <w:szCs w:val="28"/>
          <w:lang w:val="en-GB"/>
        </w:rPr>
        <w:t xml:space="preserve">Derogations from international human rights obligations must be exceptional, temporary, and both geographically and materially limited. </w:t>
      </w:r>
      <w:r w:rsidRPr="002A7475">
        <w:rPr>
          <w:rFonts w:ascii="Calibri" w:hAnsi="Calibri" w:cs="Calibri"/>
          <w:i/>
          <w:iCs/>
          <w:color w:val="000000"/>
          <w:sz w:val="28"/>
          <w:szCs w:val="28"/>
          <w:lang w:val="en-GB"/>
        </w:rPr>
        <w:t xml:space="preserve">In times of war or public emergency threatening the life of the nation, States may take exceptional measures derogating from their obligation to guarantee freedom of peaceful assembly (see Article 4 ICCPR and Article 15 ECHR). They may however do so only where this is strictly required by the exigencies of the situation, and if such measures are consistent with their other obligations under international law.  In particular, </w:t>
      </w:r>
      <w:r w:rsidRPr="002A7475">
        <w:rPr>
          <w:rFonts w:ascii="Calibri" w:hAnsi="Calibri" w:cs="Calibri"/>
          <w:b/>
          <w:bCs/>
          <w:i/>
          <w:iCs/>
          <w:color w:val="000000"/>
          <w:sz w:val="28"/>
          <w:szCs w:val="28"/>
          <w:lang w:val="en-GB"/>
        </w:rPr>
        <w:t xml:space="preserve">the crisis or emergency must be actual or imminent, </w:t>
      </w:r>
      <w:r w:rsidRPr="002A7475">
        <w:rPr>
          <w:rFonts w:ascii="Calibri" w:hAnsi="Calibri" w:cs="Calibri"/>
          <w:i/>
          <w:iCs/>
          <w:color w:val="000000"/>
          <w:sz w:val="28"/>
          <w:szCs w:val="28"/>
          <w:lang w:val="en-GB"/>
        </w:rPr>
        <w:t xml:space="preserve">and one </w:t>
      </w:r>
      <w:r w:rsidRPr="002A7475">
        <w:rPr>
          <w:rFonts w:ascii="Calibri" w:hAnsi="Calibri" w:cs="Calibri"/>
          <w:i/>
          <w:iCs/>
          <w:color w:val="000000"/>
          <w:sz w:val="28"/>
          <w:szCs w:val="28"/>
          <w:lang w:val="en-GB"/>
        </w:rPr>
        <w:lastRenderedPageBreak/>
        <w:t xml:space="preserve">‘which affects the whole population and constitutes a threat to the   organised life of the community of which the State is composed’, meaning, essentially, that the fundamental capacity of a state to function effectively must be </w:t>
      </w:r>
      <w:proofErr w:type="spellStart"/>
      <w:r w:rsidRPr="002A7475">
        <w:rPr>
          <w:rFonts w:ascii="Calibri" w:hAnsi="Calibri" w:cs="Calibri"/>
          <w:i/>
          <w:iCs/>
          <w:color w:val="000000"/>
          <w:sz w:val="28"/>
          <w:szCs w:val="28"/>
          <w:lang w:val="en-GB"/>
        </w:rPr>
        <w:t>compromised.States</w:t>
      </w:r>
      <w:proofErr w:type="spellEnd"/>
      <w:r w:rsidRPr="002A7475">
        <w:rPr>
          <w:rFonts w:ascii="Calibri" w:hAnsi="Calibri" w:cs="Calibri"/>
          <w:i/>
          <w:iCs/>
          <w:color w:val="000000"/>
          <w:sz w:val="28"/>
          <w:szCs w:val="28"/>
          <w:lang w:val="en-GB"/>
        </w:rPr>
        <w:t xml:space="preserve"> seeking to derogate from their human rights commitments </w:t>
      </w:r>
      <w:r w:rsidRPr="002A7475">
        <w:rPr>
          <w:rFonts w:ascii="Calibri" w:hAnsi="Calibri" w:cs="Calibri"/>
          <w:b/>
          <w:bCs/>
          <w:i/>
          <w:iCs/>
          <w:color w:val="000000"/>
          <w:sz w:val="28"/>
          <w:szCs w:val="28"/>
          <w:lang w:val="en-GB"/>
        </w:rPr>
        <w:t>must officially proclaim a state of emergency</w:t>
      </w:r>
      <w:r w:rsidRPr="002A7475">
        <w:rPr>
          <w:rFonts w:ascii="Calibri" w:hAnsi="Calibri" w:cs="Calibri"/>
          <w:i/>
          <w:iCs/>
          <w:color w:val="000000"/>
          <w:sz w:val="28"/>
          <w:szCs w:val="28"/>
          <w:lang w:val="en-GB"/>
        </w:rPr>
        <w:t xml:space="preserve"> in compliance with relevant constitutional and other legal provisions governing the exercise of emergency powers. </w:t>
      </w:r>
      <w:r w:rsidRPr="002A7475">
        <w:rPr>
          <w:rFonts w:ascii="Calibri" w:hAnsi="Calibri" w:cs="Calibri"/>
          <w:b/>
          <w:bCs/>
          <w:i/>
          <w:iCs/>
          <w:color w:val="000000"/>
          <w:sz w:val="28"/>
          <w:szCs w:val="28"/>
          <w:lang w:val="en-GB"/>
        </w:rPr>
        <w:t>Any derogations must strictly limited temporally, geographically and materially</w:t>
      </w:r>
      <w:r w:rsidRPr="002A7475">
        <w:rPr>
          <w:rFonts w:ascii="Calibri" w:hAnsi="Calibri" w:cs="Calibri"/>
          <w:i/>
          <w:iCs/>
          <w:color w:val="000000"/>
          <w:sz w:val="28"/>
          <w:szCs w:val="28"/>
          <w:lang w:val="en-GB"/>
        </w:rPr>
        <w:t xml:space="preserve">. In situations that do not meet the high threshold for derogations, the possibility of imposing proportionate and content-neutral time, place and manner restrictions on public assemblies specifically tailored to the particular situation at hand should be </w:t>
      </w:r>
      <w:proofErr w:type="spellStart"/>
      <w:r w:rsidRPr="002A7475">
        <w:rPr>
          <w:rFonts w:ascii="Calibri" w:hAnsi="Calibri" w:cs="Calibri"/>
          <w:i/>
          <w:iCs/>
          <w:color w:val="000000"/>
          <w:sz w:val="28"/>
          <w:szCs w:val="28"/>
          <w:lang w:val="en-GB"/>
        </w:rPr>
        <w:t>sufficient.Generally</w:t>
      </w:r>
      <w:proofErr w:type="spellEnd"/>
      <w:r w:rsidRPr="002A7475">
        <w:rPr>
          <w:rFonts w:ascii="Calibri" w:hAnsi="Calibri" w:cs="Calibri"/>
          <w:i/>
          <w:iCs/>
          <w:color w:val="000000"/>
          <w:sz w:val="28"/>
          <w:szCs w:val="28"/>
          <w:lang w:val="en-GB"/>
        </w:rPr>
        <w:t xml:space="preserve">, </w:t>
      </w:r>
      <w:r w:rsidRPr="002A7475">
        <w:rPr>
          <w:rFonts w:ascii="Calibri" w:hAnsi="Calibri" w:cs="Calibri"/>
          <w:b/>
          <w:bCs/>
          <w:i/>
          <w:iCs/>
          <w:color w:val="000000"/>
          <w:sz w:val="28"/>
          <w:szCs w:val="28"/>
          <w:lang w:val="en-GB"/>
        </w:rPr>
        <w:t>emergency powers must be tailored to an immediate and urgent crisis and shall not be used as a means to limit legitimate dissent, protest, expression and the work of civil society.</w:t>
      </w:r>
      <w:r w:rsidRPr="002A7475">
        <w:rPr>
          <w:rFonts w:ascii="Calibri" w:hAnsi="Calibri" w:cs="Calibri"/>
          <w:i/>
          <w:iCs/>
          <w:color w:val="000000"/>
          <w:sz w:val="28"/>
          <w:szCs w:val="28"/>
          <w:lang w:val="en-GB"/>
        </w:rPr>
        <w:t xml:space="preserve"> “</w:t>
      </w:r>
    </w:p>
    <w:p w14:paraId="47294A51" w14:textId="77777777" w:rsidR="001D61DB" w:rsidRPr="002A7475" w:rsidRDefault="001D61DB" w:rsidP="001D61DB">
      <w:pPr>
        <w:spacing w:after="4"/>
        <w:ind w:left="1157" w:right="558"/>
        <w:contextualSpacing/>
        <w:jc w:val="both"/>
        <w:rPr>
          <w:rFonts w:ascii="Calibri" w:eastAsia="Arial" w:hAnsi="Calibri" w:cs="Calibri"/>
          <w:i/>
          <w:iCs/>
          <w:color w:val="000000"/>
          <w:sz w:val="28"/>
          <w:szCs w:val="28"/>
          <w:lang w:val="en-GB"/>
        </w:rPr>
      </w:pPr>
    </w:p>
    <w:p w14:paraId="1614E0FE" w14:textId="77777777" w:rsidR="001D61DB" w:rsidRPr="002A7475" w:rsidRDefault="001D61DB" w:rsidP="001D61DB">
      <w:pPr>
        <w:numPr>
          <w:ilvl w:val="0"/>
          <w:numId w:val="17"/>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Deze richtlijnen benadrukken dat dit soort inperkingen uitsluitend toegelaten zijn indien een algehele noodtoestand uitgeroepen is. </w:t>
      </w:r>
    </w:p>
    <w:p w14:paraId="3A082267" w14:textId="77777777" w:rsidR="001D61DB" w:rsidRPr="002A7475" w:rsidRDefault="001D61DB" w:rsidP="001D61DB">
      <w:pPr>
        <w:ind w:left="1157"/>
        <w:contextualSpacing/>
        <w:jc w:val="both"/>
        <w:rPr>
          <w:rFonts w:ascii="Calibri" w:eastAsia="Arial" w:hAnsi="Calibri" w:cs="Calibri"/>
          <w:color w:val="000000"/>
          <w:sz w:val="28"/>
          <w:szCs w:val="28"/>
        </w:rPr>
      </w:pPr>
    </w:p>
    <w:p w14:paraId="651C90BF" w14:textId="77777777" w:rsidR="001D61DB" w:rsidRPr="002A7475" w:rsidRDefault="001D61DB" w:rsidP="001D61DB">
      <w:pPr>
        <w:numPr>
          <w:ilvl w:val="0"/>
          <w:numId w:val="17"/>
        </w:numPr>
        <w:autoSpaceDE w:val="0"/>
        <w:autoSpaceDN w:val="0"/>
        <w:adjustRightInd w:val="0"/>
        <w:contextualSpacing/>
        <w:jc w:val="both"/>
        <w:rPr>
          <w:rFonts w:ascii="Calibri" w:eastAsia="Calibri" w:hAnsi="Calibri" w:cs="Calibri"/>
          <w:i/>
          <w:iCs/>
          <w:color w:val="000000"/>
          <w:sz w:val="28"/>
          <w:szCs w:val="28"/>
          <w:lang w:eastAsia="en-US"/>
        </w:rPr>
      </w:pPr>
      <w:r w:rsidRPr="002A7475">
        <w:rPr>
          <w:rFonts w:ascii="Calibri" w:eastAsia="Arial" w:hAnsi="Calibri" w:cs="Calibri"/>
          <w:color w:val="000000"/>
          <w:sz w:val="28"/>
          <w:szCs w:val="28"/>
        </w:rPr>
        <w:t xml:space="preserve">Ook aan de voorwaarde van een </w:t>
      </w:r>
      <w:r w:rsidRPr="002A7475">
        <w:rPr>
          <w:rFonts w:ascii="Calibri" w:eastAsia="Arial" w:hAnsi="Calibri" w:cs="Calibri"/>
          <w:i/>
          <w:iCs/>
          <w:color w:val="000000"/>
          <w:sz w:val="28"/>
          <w:szCs w:val="28"/>
        </w:rPr>
        <w:t>reële en acute dreiging</w:t>
      </w:r>
      <w:r w:rsidRPr="002A7475">
        <w:rPr>
          <w:rFonts w:ascii="Calibri" w:eastAsia="Arial" w:hAnsi="Calibri" w:cs="Calibri"/>
          <w:color w:val="000000"/>
          <w:sz w:val="28"/>
          <w:szCs w:val="28"/>
        </w:rPr>
        <w:t xml:space="preserve"> is niet voldaan. </w:t>
      </w:r>
      <w:r w:rsidRPr="002A7475">
        <w:rPr>
          <w:rFonts w:ascii="Calibri" w:eastAsia="Calibri" w:hAnsi="Calibri" w:cs="Calibri"/>
          <w:color w:val="000000"/>
          <w:sz w:val="28"/>
          <w:szCs w:val="28"/>
        </w:rPr>
        <w:t>Hierbij moet h</w:t>
      </w:r>
      <w:r w:rsidRPr="002A7475">
        <w:rPr>
          <w:rFonts w:ascii="Calibri" w:eastAsia="Calibri" w:hAnsi="Calibri" w:cs="Calibri"/>
          <w:color w:val="000000"/>
          <w:sz w:val="28"/>
          <w:szCs w:val="28"/>
          <w:lang w:eastAsia="en-US"/>
        </w:rPr>
        <w:t xml:space="preserve">et principe van “strikte noodzaak” objectief toegepast worden. Elke maatregel moet gericht zijn tegen </w:t>
      </w:r>
      <w:r w:rsidRPr="002A7475">
        <w:rPr>
          <w:rFonts w:ascii="Calibri" w:eastAsia="Calibri" w:hAnsi="Calibri" w:cs="Calibri"/>
          <w:i/>
          <w:iCs/>
          <w:color w:val="000000"/>
          <w:sz w:val="28"/>
          <w:szCs w:val="28"/>
          <w:lang w:eastAsia="en-US"/>
        </w:rPr>
        <w:t>een reëel, duidelijk, en aanwezig of dreigend gevaar en mag niet opgelegd worden wegens vrees voor een potentieel gevaar.</w:t>
      </w:r>
    </w:p>
    <w:p w14:paraId="13E9EC98" w14:textId="77777777" w:rsidR="001D61DB" w:rsidRPr="002A7475" w:rsidRDefault="001D61DB" w:rsidP="001D61DB">
      <w:pPr>
        <w:autoSpaceDE w:val="0"/>
        <w:autoSpaceDN w:val="0"/>
        <w:adjustRightInd w:val="0"/>
        <w:ind w:left="567" w:hanging="567"/>
        <w:contextualSpacing/>
        <w:jc w:val="both"/>
        <w:rPr>
          <w:rFonts w:ascii="Calibri" w:eastAsia="Calibri" w:hAnsi="Calibri" w:cs="Calibri"/>
          <w:color w:val="000000"/>
          <w:sz w:val="28"/>
          <w:szCs w:val="28"/>
        </w:rPr>
      </w:pPr>
    </w:p>
    <w:p w14:paraId="10264AB4" w14:textId="77777777" w:rsidR="001D61DB" w:rsidRPr="002A7475" w:rsidRDefault="001D61DB" w:rsidP="001D61DB">
      <w:pPr>
        <w:numPr>
          <w:ilvl w:val="0"/>
          <w:numId w:val="17"/>
        </w:numPr>
        <w:autoSpaceDE w:val="0"/>
        <w:autoSpaceDN w:val="0"/>
        <w:adjustRightInd w:val="0"/>
        <w:spacing w:after="200"/>
        <w:contextualSpacing/>
        <w:jc w:val="both"/>
        <w:rPr>
          <w:rFonts w:ascii="Calibri" w:eastAsia="Calibri" w:hAnsi="Calibri" w:cs="Calibri"/>
          <w:color w:val="000000"/>
          <w:sz w:val="28"/>
          <w:szCs w:val="28"/>
        </w:rPr>
      </w:pPr>
      <w:r w:rsidRPr="002A7475">
        <w:rPr>
          <w:rFonts w:ascii="Calibri" w:eastAsia="Calibri" w:hAnsi="Calibri" w:cs="Calibri"/>
          <w:color w:val="000000"/>
          <w:sz w:val="28"/>
          <w:szCs w:val="28"/>
        </w:rPr>
        <w:t xml:space="preserve">Deze eis staat in schril contrast met het OMT-advies en de argumenten die aan de besluitvorming ten grondslag liggen. Zowel de beleidsmakers als het OMT verwarren namelijk een </w:t>
      </w:r>
      <w:r w:rsidRPr="002A7475">
        <w:rPr>
          <w:rFonts w:ascii="Calibri" w:eastAsia="Calibri" w:hAnsi="Calibri" w:cs="Calibri"/>
          <w:i/>
          <w:iCs/>
          <w:color w:val="000000"/>
          <w:sz w:val="28"/>
          <w:szCs w:val="28"/>
        </w:rPr>
        <w:t>potentieel gevaar</w:t>
      </w:r>
      <w:r w:rsidRPr="002A7475">
        <w:rPr>
          <w:rFonts w:ascii="Calibri" w:eastAsia="Calibri" w:hAnsi="Calibri" w:cs="Calibri"/>
          <w:color w:val="000000"/>
          <w:sz w:val="28"/>
          <w:szCs w:val="28"/>
        </w:rPr>
        <w:t xml:space="preserve"> met een </w:t>
      </w:r>
      <w:r w:rsidRPr="002A7475">
        <w:rPr>
          <w:rFonts w:ascii="Calibri" w:eastAsia="Calibri" w:hAnsi="Calibri" w:cs="Calibri"/>
          <w:i/>
          <w:iCs/>
          <w:color w:val="000000"/>
          <w:sz w:val="28"/>
          <w:szCs w:val="28"/>
        </w:rPr>
        <w:t>reële en directe dreiging</w:t>
      </w:r>
      <w:r w:rsidRPr="002A7475">
        <w:rPr>
          <w:rFonts w:ascii="Calibri" w:eastAsia="Calibri" w:hAnsi="Calibri" w:cs="Calibri"/>
          <w:color w:val="000000"/>
          <w:sz w:val="28"/>
          <w:szCs w:val="28"/>
        </w:rPr>
        <w:t xml:space="preserve">. </w:t>
      </w:r>
    </w:p>
    <w:p w14:paraId="280C99CF" w14:textId="77777777" w:rsidR="001D61DB" w:rsidRPr="002A7475" w:rsidRDefault="001D61DB" w:rsidP="001D61DB">
      <w:pPr>
        <w:autoSpaceDE w:val="0"/>
        <w:autoSpaceDN w:val="0"/>
        <w:adjustRightInd w:val="0"/>
        <w:ind w:left="567" w:hanging="567"/>
        <w:contextualSpacing/>
        <w:jc w:val="both"/>
        <w:rPr>
          <w:rFonts w:ascii="Calibri" w:eastAsia="Calibri" w:hAnsi="Calibri" w:cs="Calibri"/>
          <w:color w:val="000000"/>
          <w:sz w:val="28"/>
          <w:szCs w:val="28"/>
        </w:rPr>
      </w:pPr>
    </w:p>
    <w:p w14:paraId="06755971" w14:textId="77777777" w:rsidR="001D61DB" w:rsidRPr="002A7475" w:rsidRDefault="001D61DB" w:rsidP="001D61DB">
      <w:pPr>
        <w:numPr>
          <w:ilvl w:val="0"/>
          <w:numId w:val="17"/>
        </w:numPr>
        <w:autoSpaceDE w:val="0"/>
        <w:autoSpaceDN w:val="0"/>
        <w:adjustRightInd w:val="0"/>
        <w:spacing w:after="200"/>
        <w:contextualSpacing/>
        <w:jc w:val="both"/>
        <w:rPr>
          <w:rFonts w:ascii="Calibri" w:eastAsia="Calibri" w:hAnsi="Calibri" w:cs="Calibri"/>
          <w:color w:val="000000"/>
          <w:sz w:val="28"/>
          <w:szCs w:val="28"/>
        </w:rPr>
      </w:pPr>
      <w:r w:rsidRPr="002A7475">
        <w:rPr>
          <w:rFonts w:ascii="Calibri" w:eastAsia="Calibri" w:hAnsi="Calibri" w:cs="Calibri"/>
          <w:color w:val="000000"/>
          <w:sz w:val="28"/>
          <w:szCs w:val="28"/>
        </w:rPr>
        <w:t xml:space="preserve">Een potentieel gevaar is niet meer dan een soort risicoanalyse. Een reële en directe dreiging kan alleen volgen uit feitelijke omstandigheden. Als in het buitenland een nieuwe ziekte uitbreekt waarna een massale sterfte volgt, dan bestaat een reële kans dat deze ook naar Nederland komt. In dat geval kan het gerechtvaardigd zijn om maatregelen te nemen. Die situatie heeft zich nooit voorgedaan. </w:t>
      </w:r>
    </w:p>
    <w:p w14:paraId="5EF50337" w14:textId="77777777" w:rsidR="001D61DB" w:rsidRPr="002A7475" w:rsidRDefault="001D61DB" w:rsidP="001D61DB">
      <w:pPr>
        <w:autoSpaceDE w:val="0"/>
        <w:autoSpaceDN w:val="0"/>
        <w:adjustRightInd w:val="0"/>
        <w:ind w:left="567" w:hanging="567"/>
        <w:contextualSpacing/>
        <w:jc w:val="both"/>
        <w:rPr>
          <w:rFonts w:ascii="Calibri" w:eastAsia="Calibri" w:hAnsi="Calibri" w:cs="Calibri"/>
          <w:color w:val="000000"/>
          <w:sz w:val="28"/>
          <w:szCs w:val="28"/>
        </w:rPr>
      </w:pPr>
    </w:p>
    <w:p w14:paraId="78893389" w14:textId="77777777" w:rsidR="001D61DB" w:rsidRPr="002A7475" w:rsidRDefault="001D61DB" w:rsidP="001D61DB">
      <w:pPr>
        <w:numPr>
          <w:ilvl w:val="0"/>
          <w:numId w:val="17"/>
        </w:numPr>
        <w:autoSpaceDE w:val="0"/>
        <w:autoSpaceDN w:val="0"/>
        <w:adjustRightInd w:val="0"/>
        <w:spacing w:after="200"/>
        <w:contextualSpacing/>
        <w:jc w:val="both"/>
        <w:rPr>
          <w:rFonts w:ascii="Calibri" w:eastAsia="Calibri" w:hAnsi="Calibri" w:cs="Calibri"/>
          <w:color w:val="000000"/>
          <w:sz w:val="28"/>
          <w:szCs w:val="28"/>
        </w:rPr>
      </w:pPr>
      <w:r w:rsidRPr="002A7475">
        <w:rPr>
          <w:rFonts w:ascii="Calibri" w:eastAsia="Calibri" w:hAnsi="Calibri" w:cs="Calibri"/>
          <w:color w:val="000000"/>
          <w:sz w:val="28"/>
          <w:szCs w:val="28"/>
        </w:rPr>
        <w:t xml:space="preserve">Een virus dat muteert en </w:t>
      </w:r>
      <w:r w:rsidRPr="002A7475">
        <w:rPr>
          <w:rFonts w:ascii="Calibri" w:eastAsia="Calibri" w:hAnsi="Calibri" w:cs="Calibri"/>
          <w:i/>
          <w:iCs/>
          <w:color w:val="000000"/>
          <w:sz w:val="28"/>
          <w:szCs w:val="28"/>
        </w:rPr>
        <w:t>mogelijk</w:t>
      </w:r>
      <w:r w:rsidRPr="002A7475">
        <w:rPr>
          <w:rFonts w:ascii="Calibri" w:eastAsia="Calibri" w:hAnsi="Calibri" w:cs="Calibri"/>
          <w:color w:val="000000"/>
          <w:sz w:val="28"/>
          <w:szCs w:val="28"/>
        </w:rPr>
        <w:t xml:space="preserve"> besmettelijker wordt kan nimmer de basis vormen voor vergaande grondrechteninperkingen. Nog minder indien deze potentiële gevaren een product zijn van modellen gebaseerd op aannames. </w:t>
      </w:r>
    </w:p>
    <w:p w14:paraId="428B17D0" w14:textId="77777777" w:rsidR="001D61DB" w:rsidRPr="002A7475" w:rsidRDefault="001D61DB" w:rsidP="001D61DB">
      <w:pPr>
        <w:autoSpaceDE w:val="0"/>
        <w:autoSpaceDN w:val="0"/>
        <w:adjustRightInd w:val="0"/>
        <w:spacing w:after="200"/>
        <w:contextualSpacing/>
        <w:jc w:val="both"/>
        <w:rPr>
          <w:rFonts w:ascii="Calibri" w:eastAsia="Calibri" w:hAnsi="Calibri" w:cs="Calibri"/>
          <w:color w:val="000000"/>
          <w:sz w:val="28"/>
          <w:szCs w:val="28"/>
        </w:rPr>
      </w:pPr>
    </w:p>
    <w:p w14:paraId="6D1D68F1" w14:textId="77777777" w:rsidR="001D61DB" w:rsidRPr="002A7475" w:rsidRDefault="001D61DB" w:rsidP="001D61DB">
      <w:pPr>
        <w:numPr>
          <w:ilvl w:val="0"/>
          <w:numId w:val="19"/>
        </w:numPr>
        <w:contextualSpacing/>
        <w:rPr>
          <w:rFonts w:ascii="Calibri" w:eastAsia="Arial" w:hAnsi="Calibri" w:cs="Calibri"/>
          <w:b/>
          <w:bCs/>
          <w:color w:val="000000"/>
          <w:sz w:val="28"/>
          <w:szCs w:val="28"/>
        </w:rPr>
      </w:pPr>
      <w:r w:rsidRPr="002A7475">
        <w:rPr>
          <w:rFonts w:ascii="Calibri" w:eastAsia="Arial" w:hAnsi="Calibri" w:cs="Calibri"/>
          <w:b/>
          <w:bCs/>
          <w:color w:val="000000"/>
          <w:sz w:val="28"/>
          <w:szCs w:val="28"/>
        </w:rPr>
        <w:t>Motiveringsgebreken</w:t>
      </w:r>
    </w:p>
    <w:p w14:paraId="1C4FD259" w14:textId="77777777" w:rsidR="001D61DB" w:rsidRPr="002A7475" w:rsidRDefault="001D61DB" w:rsidP="001D61DB">
      <w:pPr>
        <w:ind w:left="1157"/>
        <w:contextualSpacing/>
        <w:jc w:val="both"/>
        <w:rPr>
          <w:rFonts w:ascii="Calibri" w:eastAsia="Arial" w:hAnsi="Calibri" w:cs="Calibri"/>
          <w:i/>
          <w:iCs/>
          <w:color w:val="000000"/>
          <w:sz w:val="28"/>
          <w:szCs w:val="28"/>
        </w:rPr>
      </w:pPr>
      <w:r w:rsidRPr="002A7475">
        <w:rPr>
          <w:rFonts w:ascii="Calibri" w:eastAsia="Arial" w:hAnsi="Calibri" w:cs="Calibri"/>
          <w:i/>
          <w:iCs/>
          <w:color w:val="000000"/>
          <w:sz w:val="28"/>
          <w:szCs w:val="28"/>
        </w:rPr>
        <w:t>Besmettingsgevaar</w:t>
      </w:r>
    </w:p>
    <w:p w14:paraId="3D457048"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Vervolgens onderbouwt de burgemeester het besluit met een verwijzing naar hoge aantal “besmettingen” die in de Gooi- en Vechtstreek en in heel Nederland   aangetroffen zouden worden. Aantallen besmettingen kunnen echter op meerdere gronden een afwijking van het recht op betoging dragen.</w:t>
      </w:r>
    </w:p>
    <w:p w14:paraId="2BF14CBB" w14:textId="77777777" w:rsidR="001D61DB" w:rsidRPr="002A7475" w:rsidRDefault="001D61DB" w:rsidP="001D61DB">
      <w:pPr>
        <w:ind w:left="1157"/>
        <w:contextualSpacing/>
        <w:jc w:val="both"/>
        <w:rPr>
          <w:rFonts w:ascii="Calibri" w:eastAsia="Arial" w:hAnsi="Calibri" w:cs="Calibri"/>
          <w:color w:val="000000"/>
          <w:sz w:val="28"/>
          <w:szCs w:val="28"/>
        </w:rPr>
      </w:pPr>
    </w:p>
    <w:p w14:paraId="63195BDA" w14:textId="77777777" w:rsidR="001D61DB" w:rsidRPr="002A7475" w:rsidRDefault="001D61DB" w:rsidP="001D61DB">
      <w:pPr>
        <w:numPr>
          <w:ilvl w:val="0"/>
          <w:numId w:val="20"/>
        </w:numPr>
        <w:contextualSpacing/>
        <w:jc w:val="both"/>
        <w:rPr>
          <w:rFonts w:ascii="Calibri" w:hAnsi="Calibri" w:cs="Calibri"/>
          <w:color w:val="000000"/>
          <w:sz w:val="28"/>
          <w:szCs w:val="28"/>
        </w:rPr>
      </w:pPr>
      <w:r w:rsidRPr="002A7475">
        <w:rPr>
          <w:rFonts w:ascii="Calibri" w:eastAsia="Arial" w:hAnsi="Calibri" w:cs="Calibri"/>
          <w:color w:val="000000"/>
          <w:sz w:val="28"/>
          <w:szCs w:val="28"/>
        </w:rPr>
        <w:t xml:space="preserve">Het verbod is gebaseerd op Hoofdstuk V en Va van de Wet publieke gezondheid. Deze wet regelt de bestrijding van infectieziektes. De wet gaat uit van gediagnostiseerde </w:t>
      </w:r>
      <w:r w:rsidRPr="002A7475">
        <w:rPr>
          <w:rFonts w:ascii="Calibri" w:eastAsia="Arial" w:hAnsi="Calibri" w:cs="Calibri"/>
          <w:i/>
          <w:iCs/>
          <w:color w:val="000000"/>
          <w:sz w:val="28"/>
          <w:szCs w:val="28"/>
        </w:rPr>
        <w:t>ziektegevallen</w:t>
      </w:r>
      <w:r w:rsidRPr="002A7475">
        <w:rPr>
          <w:rFonts w:ascii="Calibri" w:eastAsia="Arial" w:hAnsi="Calibri" w:cs="Calibri"/>
          <w:color w:val="000000"/>
          <w:sz w:val="28"/>
          <w:szCs w:val="28"/>
        </w:rPr>
        <w:t xml:space="preserve">. De burgemeester wijst echter op aantallen positieve testen die als besmettingen aangeduid worden. Dit kan echter niet als criterium dienen om maatregelen te rechtvaardigen. Daarmee wordt immers een willekeurig criterium geïntroduceerd. </w:t>
      </w:r>
    </w:p>
    <w:p w14:paraId="5EE5A3B1" w14:textId="77777777" w:rsidR="001D61DB" w:rsidRPr="002A7475" w:rsidRDefault="001D61DB" w:rsidP="001D61DB">
      <w:pPr>
        <w:ind w:left="708"/>
        <w:contextualSpacing/>
        <w:rPr>
          <w:rFonts w:ascii="Calibri" w:hAnsi="Calibri" w:cs="Calibri"/>
          <w:color w:val="000000"/>
          <w:sz w:val="28"/>
          <w:szCs w:val="28"/>
        </w:rPr>
      </w:pPr>
    </w:p>
    <w:p w14:paraId="2AC5B3EA" w14:textId="570CE44F" w:rsidR="001D61DB" w:rsidRPr="002A7475" w:rsidRDefault="001D61DB" w:rsidP="001D61DB">
      <w:pPr>
        <w:numPr>
          <w:ilvl w:val="0"/>
          <w:numId w:val="20"/>
        </w:numPr>
        <w:contextualSpacing/>
        <w:jc w:val="both"/>
        <w:rPr>
          <w:rFonts w:ascii="Calibri" w:hAnsi="Calibri" w:cs="Calibri"/>
          <w:color w:val="000000"/>
          <w:sz w:val="28"/>
          <w:szCs w:val="28"/>
        </w:rPr>
      </w:pPr>
      <w:r w:rsidRPr="002A7475">
        <w:rPr>
          <w:rFonts w:ascii="Calibri" w:hAnsi="Calibri" w:cs="Calibri"/>
          <w:color w:val="000000"/>
          <w:sz w:val="28"/>
          <w:szCs w:val="28"/>
        </w:rPr>
        <w:t>Niet alleen kan met een positieve test geen ziektegeval worden vastgesteld. Een diagnose kan alleen door een arts gesteld worden. Ook is de test niet geschikt om gebruikt te worden op symptoomvrije personen. Het grootste deel van de positief geteste personen heeft geen symptomen en is daarmee niet ziek. In dit verband wijzen verzoekers op de uitspraak van het de bestuursrechter in Wenen van 24 maart 2021.</w:t>
      </w:r>
    </w:p>
    <w:p w14:paraId="7D93E016" w14:textId="77777777" w:rsidR="001D61DB" w:rsidRPr="002A7475" w:rsidRDefault="001D61DB" w:rsidP="001D61DB">
      <w:pPr>
        <w:ind w:left="708"/>
        <w:contextualSpacing/>
        <w:rPr>
          <w:rFonts w:ascii="Calibri" w:hAnsi="Calibri" w:cs="Calibri"/>
          <w:color w:val="000000"/>
          <w:sz w:val="28"/>
          <w:szCs w:val="28"/>
        </w:rPr>
      </w:pPr>
    </w:p>
    <w:p w14:paraId="2D08A228" w14:textId="77777777" w:rsidR="001D61DB" w:rsidRPr="002A7475" w:rsidRDefault="001D61DB" w:rsidP="001D61DB">
      <w:pPr>
        <w:autoSpaceDE w:val="0"/>
        <w:autoSpaceDN w:val="0"/>
        <w:adjustRightInd w:val="0"/>
        <w:ind w:left="1157"/>
        <w:contextualSpacing/>
        <w:jc w:val="both"/>
        <w:rPr>
          <w:rFonts w:ascii="Calibri" w:hAnsi="Calibri" w:cs="Calibri"/>
          <w:b/>
          <w:bCs/>
          <w:color w:val="000000"/>
          <w:sz w:val="28"/>
          <w:szCs w:val="28"/>
          <w:lang w:val="de-DE"/>
        </w:rPr>
      </w:pPr>
      <w:proofErr w:type="spellStart"/>
      <w:r w:rsidRPr="002A7475">
        <w:rPr>
          <w:rFonts w:ascii="Calibri" w:hAnsi="Calibri" w:cs="Calibri"/>
          <w:b/>
          <w:bCs/>
          <w:color w:val="000000"/>
          <w:sz w:val="28"/>
          <w:szCs w:val="28"/>
          <w:lang w:val="de-DE"/>
        </w:rPr>
        <w:t>Bijlage</w:t>
      </w:r>
      <w:proofErr w:type="spellEnd"/>
      <w:r w:rsidRPr="002A7475">
        <w:rPr>
          <w:rFonts w:ascii="Calibri" w:hAnsi="Calibri" w:cs="Calibri"/>
          <w:b/>
          <w:bCs/>
          <w:color w:val="000000"/>
          <w:sz w:val="28"/>
          <w:szCs w:val="28"/>
          <w:lang w:val="de-DE"/>
        </w:rPr>
        <w:t xml:space="preserve"> 3: </w:t>
      </w:r>
      <w:proofErr w:type="spellStart"/>
      <w:r w:rsidRPr="002A7475">
        <w:rPr>
          <w:rFonts w:ascii="Calibri" w:hAnsi="Calibri" w:cs="Calibri"/>
          <w:color w:val="000000"/>
          <w:sz w:val="28"/>
          <w:szCs w:val="28"/>
          <w:lang w:val="de-DE"/>
        </w:rPr>
        <w:t>uitspraak</w:t>
      </w:r>
      <w:proofErr w:type="spellEnd"/>
      <w:r w:rsidRPr="002A7475">
        <w:rPr>
          <w:rFonts w:ascii="Calibri" w:hAnsi="Calibri" w:cs="Calibri"/>
          <w:color w:val="000000"/>
          <w:sz w:val="28"/>
          <w:szCs w:val="28"/>
          <w:lang w:val="de-DE"/>
        </w:rPr>
        <w:t xml:space="preserve"> </w:t>
      </w:r>
      <w:proofErr w:type="spellStart"/>
      <w:r w:rsidRPr="002A7475">
        <w:rPr>
          <w:rFonts w:ascii="Calibri" w:hAnsi="Calibri" w:cs="Calibri"/>
          <w:color w:val="000000"/>
          <w:sz w:val="28"/>
          <w:szCs w:val="28"/>
          <w:lang w:val="de-DE"/>
        </w:rPr>
        <w:t>bestuursrechter</w:t>
      </w:r>
      <w:proofErr w:type="spellEnd"/>
      <w:r w:rsidRPr="002A7475">
        <w:rPr>
          <w:rFonts w:ascii="Calibri" w:hAnsi="Calibri" w:cs="Calibri"/>
          <w:color w:val="000000"/>
          <w:sz w:val="28"/>
          <w:szCs w:val="28"/>
          <w:lang w:val="de-DE"/>
        </w:rPr>
        <w:t xml:space="preserve"> </w:t>
      </w:r>
      <w:proofErr w:type="spellStart"/>
      <w:r w:rsidRPr="002A7475">
        <w:rPr>
          <w:rFonts w:ascii="Calibri" w:hAnsi="Calibri" w:cs="Calibri"/>
          <w:color w:val="000000"/>
          <w:sz w:val="28"/>
          <w:szCs w:val="28"/>
          <w:lang w:val="de-DE"/>
        </w:rPr>
        <w:t>Wenen</w:t>
      </w:r>
      <w:proofErr w:type="spellEnd"/>
      <w:r w:rsidRPr="002A7475">
        <w:rPr>
          <w:rFonts w:ascii="Calibri" w:hAnsi="Calibri" w:cs="Calibri"/>
          <w:color w:val="000000"/>
          <w:sz w:val="28"/>
          <w:szCs w:val="28"/>
          <w:lang w:val="de-DE"/>
        </w:rPr>
        <w:t xml:space="preserve"> </w:t>
      </w:r>
      <w:r w:rsidRPr="002A7475">
        <w:rPr>
          <w:rFonts w:ascii="Calibri" w:hAnsi="Calibri" w:cs="Calibri"/>
          <w:color w:val="202020"/>
          <w:sz w:val="28"/>
          <w:szCs w:val="28"/>
          <w:lang w:val="de-DE"/>
        </w:rPr>
        <w:t xml:space="preserve">GZ: VGW- 03/048/3227/2021-2 </w:t>
      </w:r>
      <w:r w:rsidRPr="002A7475">
        <w:rPr>
          <w:rFonts w:ascii="Calibri" w:hAnsi="Calibri" w:cs="Calibri"/>
          <w:color w:val="1C1C1C"/>
          <w:sz w:val="28"/>
          <w:szCs w:val="28"/>
          <w:lang w:val="de-DE"/>
        </w:rPr>
        <w:t>Freiheitliche Partei Österreichs, Landesgruppe Wien</w:t>
      </w:r>
    </w:p>
    <w:p w14:paraId="3F419D3E" w14:textId="77777777" w:rsidR="001D61DB" w:rsidRPr="002A7475" w:rsidRDefault="001D61DB" w:rsidP="001D61DB">
      <w:pPr>
        <w:ind w:left="708"/>
        <w:contextualSpacing/>
        <w:rPr>
          <w:rFonts w:ascii="Calibri" w:eastAsia="Arial" w:hAnsi="Calibri" w:cs="Calibri"/>
          <w:color w:val="000000"/>
          <w:sz w:val="28"/>
          <w:szCs w:val="28"/>
          <w:lang w:val="de-DE"/>
        </w:rPr>
      </w:pPr>
    </w:p>
    <w:p w14:paraId="533A1CA7" w14:textId="77777777" w:rsidR="001D61DB" w:rsidRPr="002A7475" w:rsidRDefault="001D61DB" w:rsidP="001D61DB">
      <w:pPr>
        <w:numPr>
          <w:ilvl w:val="0"/>
          <w:numId w:val="20"/>
        </w:numPr>
        <w:contextualSpacing/>
        <w:jc w:val="both"/>
        <w:rPr>
          <w:rFonts w:ascii="Calibri" w:hAnsi="Calibri" w:cs="Calibri"/>
          <w:color w:val="000000"/>
          <w:sz w:val="28"/>
          <w:szCs w:val="28"/>
        </w:rPr>
      </w:pPr>
      <w:r w:rsidRPr="002A7475">
        <w:rPr>
          <w:rFonts w:ascii="Calibri" w:hAnsi="Calibri" w:cs="Calibri"/>
          <w:color w:val="000000"/>
          <w:sz w:val="28"/>
          <w:szCs w:val="28"/>
        </w:rPr>
        <w:t xml:space="preserve">In deze uitspraak bepaalde de rechter dat een demonstratie met meerdere honderdduizenden personen ten onrechte verboden werd. De demonstratie werd verboden op grond van de vrees dat de “veilige afstand” niet in acht genomen zou worden en de vrees </w:t>
      </w:r>
      <w:r w:rsidRPr="002A7475">
        <w:rPr>
          <w:rFonts w:ascii="Calibri" w:hAnsi="Calibri" w:cs="Calibri"/>
          <w:color w:val="000000"/>
          <w:sz w:val="28"/>
          <w:szCs w:val="28"/>
        </w:rPr>
        <w:lastRenderedPageBreak/>
        <w:t xml:space="preserve">bestond dat het aantal besmettingen zou oplopen. Ook hier werd aangevoerd dat er “mutanten” in omloop zijn die mogelijk besmettelijker zijn. </w:t>
      </w:r>
    </w:p>
    <w:p w14:paraId="776A174B" w14:textId="77777777" w:rsidR="001D61DB" w:rsidRPr="002A7475" w:rsidRDefault="001D61DB" w:rsidP="001D61DB">
      <w:pPr>
        <w:ind w:left="1157"/>
        <w:contextualSpacing/>
        <w:jc w:val="both"/>
        <w:rPr>
          <w:rFonts w:ascii="Calibri" w:hAnsi="Calibri" w:cs="Calibri"/>
          <w:color w:val="000000"/>
          <w:sz w:val="28"/>
          <w:szCs w:val="28"/>
        </w:rPr>
      </w:pPr>
    </w:p>
    <w:p w14:paraId="3C0C9647" w14:textId="77777777" w:rsidR="001D61DB" w:rsidRPr="002A7475" w:rsidRDefault="001D61DB" w:rsidP="001D61DB">
      <w:pPr>
        <w:numPr>
          <w:ilvl w:val="0"/>
          <w:numId w:val="20"/>
        </w:numPr>
        <w:autoSpaceDE w:val="0"/>
        <w:autoSpaceDN w:val="0"/>
        <w:adjustRightInd w:val="0"/>
        <w:contextualSpacing/>
        <w:jc w:val="both"/>
        <w:rPr>
          <w:rFonts w:ascii="Calibri" w:hAnsi="Calibri" w:cs="Calibri"/>
          <w:color w:val="000000"/>
          <w:sz w:val="28"/>
          <w:szCs w:val="28"/>
        </w:rPr>
      </w:pPr>
      <w:r w:rsidRPr="002A7475">
        <w:rPr>
          <w:rFonts w:ascii="Calibri" w:hAnsi="Calibri" w:cs="Calibri"/>
          <w:color w:val="000000"/>
          <w:sz w:val="28"/>
          <w:szCs w:val="28"/>
        </w:rPr>
        <w:t>De rechter veegt deze onderbouwing rigoureus van tafel. Bij het testen van symptoomvrije personen is volgens de rechter sprake van een zeer hoge onnauwkeurigheid. Daarnaast overweegt de uitspraak:</w:t>
      </w:r>
    </w:p>
    <w:p w14:paraId="49EDE959" w14:textId="77777777" w:rsidR="001D61DB" w:rsidRPr="002A7475" w:rsidRDefault="001D61DB" w:rsidP="001D61DB">
      <w:pPr>
        <w:ind w:left="708"/>
        <w:contextualSpacing/>
        <w:rPr>
          <w:rFonts w:ascii="Calibri" w:hAnsi="Calibri" w:cs="Calibri"/>
          <w:sz w:val="28"/>
          <w:szCs w:val="28"/>
        </w:rPr>
      </w:pPr>
    </w:p>
    <w:p w14:paraId="471DE714" w14:textId="77777777" w:rsidR="001D61DB" w:rsidRPr="002A7475" w:rsidRDefault="001D61DB" w:rsidP="001D61DB">
      <w:pPr>
        <w:autoSpaceDE w:val="0"/>
        <w:autoSpaceDN w:val="0"/>
        <w:adjustRightInd w:val="0"/>
        <w:ind w:left="1416"/>
        <w:contextualSpacing/>
        <w:jc w:val="both"/>
        <w:rPr>
          <w:rFonts w:ascii="Calibri" w:hAnsi="Calibri" w:cs="Calibri"/>
          <w:i/>
          <w:iCs/>
          <w:sz w:val="28"/>
          <w:szCs w:val="28"/>
          <w:lang w:val="de-DE"/>
        </w:rPr>
      </w:pPr>
      <w:r w:rsidRPr="002A7475">
        <w:rPr>
          <w:rFonts w:ascii="Calibri" w:hAnsi="Calibri" w:cs="Calibri"/>
          <w:i/>
          <w:iCs/>
          <w:sz w:val="28"/>
          <w:szCs w:val="28"/>
          <w:lang w:val="de-DE"/>
        </w:rPr>
        <w:t>„Insgesamt ist bezüglich der ,,Information" des Gesundheitsdienstes der Stadt Wien und der darauf fußenden Begründung des Untersagungsbescheides festzuhalten, dass zum Seuchengeschehen keine validen und evidenzbasierten Aussagen und Feststellungen vorliege.".</w:t>
      </w:r>
    </w:p>
    <w:p w14:paraId="6136CBBF" w14:textId="77777777" w:rsidR="001D61DB" w:rsidRPr="002A7475" w:rsidRDefault="001D61DB" w:rsidP="001D61DB">
      <w:pPr>
        <w:autoSpaceDE w:val="0"/>
        <w:autoSpaceDN w:val="0"/>
        <w:adjustRightInd w:val="0"/>
        <w:ind w:left="1416"/>
        <w:contextualSpacing/>
        <w:jc w:val="both"/>
        <w:rPr>
          <w:rFonts w:ascii="Calibri" w:hAnsi="Calibri" w:cs="Calibri"/>
          <w:i/>
          <w:iCs/>
          <w:color w:val="000000"/>
          <w:sz w:val="28"/>
          <w:szCs w:val="28"/>
          <w:lang w:val="de-DE"/>
        </w:rPr>
      </w:pPr>
    </w:p>
    <w:p w14:paraId="0E33444B"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Ook in het hier bestreden besluit baseert de burgemeester zich op een advies van de GGD met een vergelijkbare inhoud. De rechter beschouwt daarmee de aantallen opgevoerde besmettingen terecht niet als een steekhoudend argument om de ernst van een situatie te onderbouwen. </w:t>
      </w:r>
    </w:p>
    <w:p w14:paraId="5FCFA5EB" w14:textId="77777777" w:rsidR="001D61DB" w:rsidRPr="002A7475" w:rsidRDefault="001D61DB" w:rsidP="001D61DB">
      <w:pPr>
        <w:ind w:left="1157"/>
        <w:contextualSpacing/>
        <w:jc w:val="both"/>
        <w:rPr>
          <w:rFonts w:ascii="Calibri" w:eastAsia="Arial" w:hAnsi="Calibri" w:cs="Calibri"/>
          <w:color w:val="000000"/>
          <w:sz w:val="28"/>
          <w:szCs w:val="28"/>
        </w:rPr>
      </w:pPr>
    </w:p>
    <w:p w14:paraId="3C1D1CCF"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Het besluit gaat voorts uit van de veronderstelling dat in de buitenlucht “besmettingen” kunnen plaatsvinden. Een onderbouwing hiervan ontbreekt.  Uit een recente studie van de Ierse Health </w:t>
      </w:r>
      <w:proofErr w:type="spellStart"/>
      <w:r w:rsidRPr="002A7475">
        <w:rPr>
          <w:rFonts w:ascii="Calibri" w:eastAsia="Arial" w:hAnsi="Calibri" w:cs="Calibri"/>
          <w:color w:val="000000"/>
          <w:sz w:val="28"/>
          <w:szCs w:val="28"/>
        </w:rPr>
        <w:t>Protection</w:t>
      </w:r>
      <w:proofErr w:type="spellEnd"/>
      <w:r w:rsidRPr="002A7475">
        <w:rPr>
          <w:rFonts w:ascii="Calibri" w:eastAsia="Arial" w:hAnsi="Calibri" w:cs="Calibri"/>
          <w:color w:val="000000"/>
          <w:sz w:val="28"/>
          <w:szCs w:val="28"/>
        </w:rPr>
        <w:t xml:space="preserve"> Surveillance Centre (HPSC) volgt dat naar schatting slechts een op de duizend besmettingen buiten plaatsvindt. Deze conclusie bevestigt eerdere berichten dat in de openlucht nauwelijks besmettingen voorkomen. In de Volkskrant verscheen op 20 mei 2020 eerder een artikel met gelijke strekking. Ook andere onderzoeken bevestigen dit beeld. </w:t>
      </w:r>
      <w:r w:rsidRPr="002A7475">
        <w:rPr>
          <w:rFonts w:ascii="Calibri" w:eastAsia="Arial" w:hAnsi="Calibri" w:cs="Calibri"/>
          <w:color w:val="000000"/>
          <w:sz w:val="28"/>
          <w:szCs w:val="28"/>
          <w:vertAlign w:val="superscript"/>
        </w:rPr>
        <w:footnoteReference w:id="1"/>
      </w:r>
    </w:p>
    <w:p w14:paraId="43E71561" w14:textId="77777777" w:rsidR="001D61DB" w:rsidRPr="002A7475" w:rsidRDefault="001D61DB" w:rsidP="001D61DB">
      <w:pPr>
        <w:ind w:left="708"/>
        <w:contextualSpacing/>
        <w:rPr>
          <w:rFonts w:ascii="Calibri" w:eastAsia="Arial" w:hAnsi="Calibri" w:cs="Calibri"/>
          <w:color w:val="000000"/>
          <w:sz w:val="28"/>
          <w:szCs w:val="28"/>
        </w:rPr>
      </w:pPr>
    </w:p>
    <w:p w14:paraId="132BFE76" w14:textId="77777777" w:rsidR="001D61DB" w:rsidRPr="002A7475" w:rsidRDefault="001D61DB" w:rsidP="001D61DB">
      <w:pPr>
        <w:autoSpaceDE w:val="0"/>
        <w:autoSpaceDN w:val="0"/>
        <w:adjustRightInd w:val="0"/>
        <w:ind w:left="1157"/>
        <w:contextualSpacing/>
        <w:rPr>
          <w:rFonts w:ascii="Calibri" w:hAnsi="Calibri" w:cs="Calibri"/>
          <w:color w:val="262624"/>
          <w:sz w:val="28"/>
          <w:szCs w:val="28"/>
          <w:lang w:val="en-GB"/>
        </w:rPr>
      </w:pPr>
      <w:proofErr w:type="spellStart"/>
      <w:r w:rsidRPr="002A7475">
        <w:rPr>
          <w:rFonts w:ascii="Calibri" w:eastAsia="Arial" w:hAnsi="Calibri" w:cs="Calibri"/>
          <w:b/>
          <w:bCs/>
          <w:color w:val="000000"/>
          <w:sz w:val="28"/>
          <w:szCs w:val="28"/>
          <w:lang w:val="en-GB"/>
        </w:rPr>
        <w:t>Bijlage</w:t>
      </w:r>
      <w:proofErr w:type="spellEnd"/>
      <w:r w:rsidRPr="002A7475">
        <w:rPr>
          <w:rFonts w:ascii="Calibri" w:eastAsia="Arial" w:hAnsi="Calibri" w:cs="Calibri"/>
          <w:b/>
          <w:bCs/>
          <w:color w:val="000000"/>
          <w:sz w:val="28"/>
          <w:szCs w:val="28"/>
          <w:lang w:val="en-GB"/>
        </w:rPr>
        <w:t xml:space="preserve"> 4</w:t>
      </w:r>
      <w:r w:rsidRPr="002A7475">
        <w:rPr>
          <w:rFonts w:ascii="Calibri" w:eastAsia="Arial" w:hAnsi="Calibri" w:cs="Calibri"/>
          <w:color w:val="000000"/>
          <w:sz w:val="28"/>
          <w:szCs w:val="28"/>
          <w:lang w:val="en-GB"/>
        </w:rPr>
        <w:t xml:space="preserve">: </w:t>
      </w:r>
      <w:proofErr w:type="spellStart"/>
      <w:r w:rsidRPr="002A7475">
        <w:rPr>
          <w:rFonts w:ascii="Calibri" w:eastAsia="Arial" w:hAnsi="Calibri" w:cs="Calibri"/>
          <w:color w:val="000000"/>
          <w:sz w:val="28"/>
          <w:szCs w:val="28"/>
          <w:lang w:val="en-GB"/>
        </w:rPr>
        <w:t>Artikel</w:t>
      </w:r>
      <w:proofErr w:type="spellEnd"/>
      <w:r w:rsidRPr="002A7475">
        <w:rPr>
          <w:rFonts w:ascii="Calibri" w:eastAsia="Arial" w:hAnsi="Calibri" w:cs="Calibri"/>
          <w:color w:val="000000"/>
          <w:sz w:val="28"/>
          <w:szCs w:val="28"/>
          <w:lang w:val="en-GB"/>
        </w:rPr>
        <w:t xml:space="preserve"> Irish Times 5 </w:t>
      </w:r>
      <w:proofErr w:type="spellStart"/>
      <w:r w:rsidRPr="002A7475">
        <w:rPr>
          <w:rFonts w:ascii="Calibri" w:eastAsia="Arial" w:hAnsi="Calibri" w:cs="Calibri"/>
          <w:color w:val="000000"/>
          <w:sz w:val="28"/>
          <w:szCs w:val="28"/>
          <w:lang w:val="en-GB"/>
        </w:rPr>
        <w:t>april</w:t>
      </w:r>
      <w:proofErr w:type="spellEnd"/>
      <w:r w:rsidRPr="002A7475">
        <w:rPr>
          <w:rFonts w:ascii="Calibri" w:eastAsia="Arial" w:hAnsi="Calibri" w:cs="Calibri"/>
          <w:color w:val="000000"/>
          <w:sz w:val="28"/>
          <w:szCs w:val="28"/>
          <w:lang w:val="en-GB"/>
        </w:rPr>
        <w:t xml:space="preserve"> </w:t>
      </w:r>
      <w:r w:rsidRPr="002A7475">
        <w:rPr>
          <w:rFonts w:ascii="Calibri" w:hAnsi="Calibri" w:cs="Calibri"/>
          <w:color w:val="262624"/>
          <w:sz w:val="28"/>
          <w:szCs w:val="28"/>
          <w:lang w:val="en-GB"/>
        </w:rPr>
        <w:t>Only 0.1% of cases of Covid-19 linked to outdoor transmission</w:t>
      </w:r>
    </w:p>
    <w:p w14:paraId="19CDAEA4" w14:textId="77777777" w:rsidR="001D61DB" w:rsidRPr="002A7475" w:rsidRDefault="001D61DB" w:rsidP="001D61DB">
      <w:pPr>
        <w:autoSpaceDE w:val="0"/>
        <w:autoSpaceDN w:val="0"/>
        <w:adjustRightInd w:val="0"/>
        <w:ind w:left="1157"/>
        <w:contextualSpacing/>
        <w:rPr>
          <w:rFonts w:ascii="Calibri" w:eastAsia="Arial" w:hAnsi="Calibri" w:cs="Calibri"/>
          <w:color w:val="000000"/>
          <w:sz w:val="28"/>
          <w:szCs w:val="28"/>
          <w:lang w:val="en-GB"/>
        </w:rPr>
      </w:pPr>
      <w:proofErr w:type="spellStart"/>
      <w:r w:rsidRPr="002A7475">
        <w:rPr>
          <w:rFonts w:ascii="Calibri" w:eastAsia="Arial" w:hAnsi="Calibri" w:cs="Calibri"/>
          <w:b/>
          <w:bCs/>
          <w:color w:val="000000"/>
          <w:sz w:val="28"/>
          <w:szCs w:val="28"/>
          <w:lang w:val="en-GB"/>
        </w:rPr>
        <w:t>Bijlage</w:t>
      </w:r>
      <w:proofErr w:type="spellEnd"/>
      <w:r w:rsidRPr="002A7475">
        <w:rPr>
          <w:rFonts w:ascii="Calibri" w:eastAsia="Arial" w:hAnsi="Calibri" w:cs="Calibri"/>
          <w:b/>
          <w:bCs/>
          <w:color w:val="000000"/>
          <w:sz w:val="28"/>
          <w:szCs w:val="28"/>
          <w:lang w:val="en-GB"/>
        </w:rPr>
        <w:t xml:space="preserve"> 5:</w:t>
      </w:r>
      <w:r w:rsidRPr="002A7475">
        <w:rPr>
          <w:rFonts w:ascii="Calibri" w:eastAsia="Arial" w:hAnsi="Calibri" w:cs="Calibri"/>
          <w:color w:val="000000"/>
          <w:sz w:val="28"/>
          <w:szCs w:val="28"/>
          <w:lang w:val="en-GB"/>
        </w:rPr>
        <w:t xml:space="preserve"> </w:t>
      </w:r>
      <w:proofErr w:type="spellStart"/>
      <w:r w:rsidRPr="002A7475">
        <w:rPr>
          <w:rFonts w:ascii="Calibri" w:eastAsia="Arial" w:hAnsi="Calibri" w:cs="Calibri"/>
          <w:color w:val="000000"/>
          <w:sz w:val="28"/>
          <w:szCs w:val="28"/>
          <w:lang w:val="en-GB"/>
        </w:rPr>
        <w:t>Artikel</w:t>
      </w:r>
      <w:proofErr w:type="spellEnd"/>
      <w:r w:rsidRPr="002A7475">
        <w:rPr>
          <w:rFonts w:ascii="Calibri" w:eastAsia="Arial" w:hAnsi="Calibri" w:cs="Calibri"/>
          <w:color w:val="000000"/>
          <w:sz w:val="28"/>
          <w:szCs w:val="28"/>
          <w:lang w:val="en-GB"/>
        </w:rPr>
        <w:t xml:space="preserve"> </w:t>
      </w:r>
      <w:proofErr w:type="spellStart"/>
      <w:r w:rsidRPr="002A7475">
        <w:rPr>
          <w:rFonts w:ascii="Calibri" w:eastAsia="Arial" w:hAnsi="Calibri" w:cs="Calibri"/>
          <w:color w:val="000000"/>
          <w:sz w:val="28"/>
          <w:szCs w:val="28"/>
          <w:lang w:val="en-GB"/>
        </w:rPr>
        <w:t>Volkskrant</w:t>
      </w:r>
      <w:proofErr w:type="spellEnd"/>
      <w:r w:rsidRPr="002A7475">
        <w:rPr>
          <w:rFonts w:ascii="Calibri" w:eastAsia="Arial" w:hAnsi="Calibri" w:cs="Calibri"/>
          <w:color w:val="000000"/>
          <w:sz w:val="28"/>
          <w:szCs w:val="28"/>
          <w:lang w:val="en-GB"/>
        </w:rPr>
        <w:t xml:space="preserve"> 20 </w:t>
      </w:r>
      <w:proofErr w:type="spellStart"/>
      <w:r w:rsidRPr="002A7475">
        <w:rPr>
          <w:rFonts w:ascii="Calibri" w:eastAsia="Arial" w:hAnsi="Calibri" w:cs="Calibri"/>
          <w:color w:val="000000"/>
          <w:sz w:val="28"/>
          <w:szCs w:val="28"/>
          <w:lang w:val="en-GB"/>
        </w:rPr>
        <w:t>mei</w:t>
      </w:r>
      <w:proofErr w:type="spellEnd"/>
      <w:r w:rsidRPr="002A7475">
        <w:rPr>
          <w:rFonts w:ascii="Calibri" w:eastAsia="Arial" w:hAnsi="Calibri" w:cs="Calibri"/>
          <w:color w:val="000000"/>
          <w:sz w:val="28"/>
          <w:szCs w:val="28"/>
          <w:lang w:val="en-GB"/>
        </w:rPr>
        <w:t xml:space="preserve"> 2020</w:t>
      </w:r>
    </w:p>
    <w:p w14:paraId="02B17EC8" w14:textId="77777777" w:rsidR="001D61DB" w:rsidRPr="002A7475" w:rsidRDefault="001D61DB" w:rsidP="001D61DB">
      <w:pPr>
        <w:ind w:left="708"/>
        <w:contextualSpacing/>
        <w:rPr>
          <w:rFonts w:ascii="Calibri" w:eastAsia="Arial" w:hAnsi="Calibri" w:cs="Calibri"/>
          <w:color w:val="000000"/>
          <w:sz w:val="28"/>
          <w:szCs w:val="28"/>
          <w:lang w:val="en-GB"/>
        </w:rPr>
      </w:pPr>
    </w:p>
    <w:p w14:paraId="6E5970C8"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lastRenderedPageBreak/>
        <w:t xml:space="preserve">Volgens het besluit zouden er naar schatting 153.621 “besmettelijke” mensen in Nederland. Van de Nederlandse bevolking is 99,91% is daarmee niet besmettelijk. In combinatie met het gegeven dat slechts een op de duizend besmettingen buiten plaatsvindt. Is het theoretische gevaar verwaarloosbaar. </w:t>
      </w:r>
    </w:p>
    <w:p w14:paraId="7848965A" w14:textId="77777777" w:rsidR="001D61DB" w:rsidRPr="002A7475" w:rsidRDefault="001D61DB" w:rsidP="001D61DB">
      <w:pPr>
        <w:ind w:left="1157"/>
        <w:contextualSpacing/>
        <w:jc w:val="both"/>
        <w:rPr>
          <w:rFonts w:ascii="Calibri" w:eastAsia="Arial" w:hAnsi="Calibri" w:cs="Calibri"/>
          <w:color w:val="000000"/>
          <w:sz w:val="28"/>
          <w:szCs w:val="28"/>
        </w:rPr>
      </w:pPr>
    </w:p>
    <w:p w14:paraId="13BCE89E"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Daarbij dient nog opgemerkt dat het in het besluit genoemde getal van “besmettelijke” mensen gebaseerd is op de aanname dat symptoomvrije personen een besmettingsbron zouden kunnen vormen. Uit een recent een Chinees onderzoek</w:t>
      </w:r>
      <w:r w:rsidRPr="002A7475">
        <w:rPr>
          <w:rFonts w:ascii="Calibri" w:hAnsi="Calibri" w:cs="Calibri"/>
          <w:color w:val="222222"/>
          <w:kern w:val="36"/>
          <w:sz w:val="28"/>
          <w:szCs w:val="28"/>
        </w:rPr>
        <w:t xml:space="preserve"> “</w:t>
      </w:r>
      <w:r w:rsidRPr="002A7475">
        <w:rPr>
          <w:rFonts w:ascii="Calibri" w:hAnsi="Calibri" w:cs="Calibri"/>
          <w:i/>
          <w:iCs/>
          <w:color w:val="222222"/>
          <w:kern w:val="36"/>
          <w:sz w:val="28"/>
          <w:szCs w:val="28"/>
        </w:rPr>
        <w:t>Post-</w:t>
      </w:r>
      <w:proofErr w:type="spellStart"/>
      <w:r w:rsidRPr="002A7475">
        <w:rPr>
          <w:rFonts w:ascii="Calibri" w:hAnsi="Calibri" w:cs="Calibri"/>
          <w:i/>
          <w:iCs/>
          <w:color w:val="222222"/>
          <w:kern w:val="36"/>
          <w:sz w:val="28"/>
          <w:szCs w:val="28"/>
        </w:rPr>
        <w:t>lockdown</w:t>
      </w:r>
      <w:proofErr w:type="spellEnd"/>
      <w:r w:rsidRPr="002A7475">
        <w:rPr>
          <w:rFonts w:ascii="Calibri" w:hAnsi="Calibri" w:cs="Calibri"/>
          <w:i/>
          <w:iCs/>
          <w:color w:val="222222"/>
          <w:kern w:val="36"/>
          <w:sz w:val="28"/>
          <w:szCs w:val="28"/>
        </w:rPr>
        <w:t xml:space="preserve"> SARS-CoV-2 </w:t>
      </w:r>
      <w:proofErr w:type="spellStart"/>
      <w:r w:rsidRPr="002A7475">
        <w:rPr>
          <w:rFonts w:ascii="Calibri" w:hAnsi="Calibri" w:cs="Calibri"/>
          <w:i/>
          <w:iCs/>
          <w:color w:val="222222"/>
          <w:kern w:val="36"/>
          <w:sz w:val="28"/>
          <w:szCs w:val="28"/>
        </w:rPr>
        <w:t>nucleic</w:t>
      </w:r>
      <w:proofErr w:type="spellEnd"/>
      <w:r w:rsidRPr="002A7475">
        <w:rPr>
          <w:rFonts w:ascii="Calibri" w:hAnsi="Calibri" w:cs="Calibri"/>
          <w:i/>
          <w:iCs/>
          <w:color w:val="222222"/>
          <w:kern w:val="36"/>
          <w:sz w:val="28"/>
          <w:szCs w:val="28"/>
        </w:rPr>
        <w:t xml:space="preserve"> acid screening in </w:t>
      </w:r>
      <w:proofErr w:type="spellStart"/>
      <w:r w:rsidRPr="002A7475">
        <w:rPr>
          <w:rFonts w:ascii="Calibri" w:hAnsi="Calibri" w:cs="Calibri"/>
          <w:i/>
          <w:iCs/>
          <w:color w:val="222222"/>
          <w:kern w:val="36"/>
          <w:sz w:val="28"/>
          <w:szCs w:val="28"/>
        </w:rPr>
        <w:t>nearly</w:t>
      </w:r>
      <w:proofErr w:type="spellEnd"/>
      <w:r w:rsidRPr="002A7475">
        <w:rPr>
          <w:rFonts w:ascii="Calibri" w:hAnsi="Calibri" w:cs="Calibri"/>
          <w:i/>
          <w:iCs/>
          <w:color w:val="222222"/>
          <w:kern w:val="36"/>
          <w:sz w:val="28"/>
          <w:szCs w:val="28"/>
        </w:rPr>
        <w:t xml:space="preserve"> ten </w:t>
      </w:r>
      <w:proofErr w:type="spellStart"/>
      <w:r w:rsidRPr="002A7475">
        <w:rPr>
          <w:rFonts w:ascii="Calibri" w:hAnsi="Calibri" w:cs="Calibri"/>
          <w:i/>
          <w:iCs/>
          <w:color w:val="222222"/>
          <w:kern w:val="36"/>
          <w:sz w:val="28"/>
          <w:szCs w:val="28"/>
        </w:rPr>
        <w:t>million</w:t>
      </w:r>
      <w:proofErr w:type="spellEnd"/>
      <w:r w:rsidRPr="002A7475">
        <w:rPr>
          <w:rFonts w:ascii="Calibri" w:hAnsi="Calibri" w:cs="Calibri"/>
          <w:i/>
          <w:iCs/>
          <w:color w:val="222222"/>
          <w:kern w:val="36"/>
          <w:sz w:val="28"/>
          <w:szCs w:val="28"/>
        </w:rPr>
        <w:t xml:space="preserve"> </w:t>
      </w:r>
      <w:proofErr w:type="spellStart"/>
      <w:r w:rsidRPr="002A7475">
        <w:rPr>
          <w:rFonts w:ascii="Calibri" w:hAnsi="Calibri" w:cs="Calibri"/>
          <w:i/>
          <w:iCs/>
          <w:color w:val="222222"/>
          <w:kern w:val="36"/>
          <w:sz w:val="28"/>
          <w:szCs w:val="28"/>
        </w:rPr>
        <w:t>residents</w:t>
      </w:r>
      <w:proofErr w:type="spellEnd"/>
      <w:r w:rsidRPr="002A7475">
        <w:rPr>
          <w:rFonts w:ascii="Calibri" w:hAnsi="Calibri" w:cs="Calibri"/>
          <w:i/>
          <w:iCs/>
          <w:color w:val="222222"/>
          <w:kern w:val="36"/>
          <w:sz w:val="28"/>
          <w:szCs w:val="28"/>
        </w:rPr>
        <w:t xml:space="preserve"> of Wuhan, China”</w:t>
      </w:r>
      <w:r w:rsidRPr="002A7475">
        <w:rPr>
          <w:rFonts w:ascii="Calibri" w:eastAsia="Arial" w:hAnsi="Calibri" w:cs="Calibri"/>
          <w:i/>
          <w:iCs/>
          <w:color w:val="000000"/>
          <w:sz w:val="28"/>
          <w:szCs w:val="28"/>
        </w:rPr>
        <w:t xml:space="preserve"> </w:t>
      </w:r>
      <w:r w:rsidRPr="002A7475">
        <w:rPr>
          <w:rFonts w:ascii="Calibri" w:eastAsia="Arial" w:hAnsi="Calibri" w:cs="Calibri"/>
          <w:color w:val="000000"/>
          <w:sz w:val="28"/>
          <w:szCs w:val="28"/>
        </w:rPr>
        <w:t xml:space="preserve">onder tien miljoen mensen in Wuhan volgt dat daarvan geen sprake is.  </w:t>
      </w:r>
    </w:p>
    <w:p w14:paraId="5134BADB" w14:textId="77777777" w:rsidR="001D61DB" w:rsidRPr="002A7475" w:rsidRDefault="001D61DB" w:rsidP="001D61DB">
      <w:pPr>
        <w:ind w:left="708"/>
        <w:contextualSpacing/>
        <w:rPr>
          <w:rFonts w:ascii="Calibri" w:eastAsia="Arial" w:hAnsi="Calibri" w:cs="Calibri"/>
          <w:color w:val="000000"/>
          <w:sz w:val="28"/>
          <w:szCs w:val="28"/>
        </w:rPr>
      </w:pPr>
    </w:p>
    <w:p w14:paraId="6EF14C02"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Het OMT baseert echter haar aanname van het tegendeel nog steeds op een onderzoek uit februari 2020 dat welgeteld één geval aanhaalt.</w:t>
      </w:r>
      <w:r w:rsidRPr="002A7475">
        <w:rPr>
          <w:rFonts w:ascii="Calibri" w:eastAsia="Arial" w:hAnsi="Calibri" w:cs="Calibri"/>
          <w:color w:val="000000"/>
          <w:sz w:val="28"/>
          <w:szCs w:val="28"/>
          <w:vertAlign w:val="superscript"/>
        </w:rPr>
        <w:footnoteReference w:id="2"/>
      </w:r>
      <w:r w:rsidRPr="002A7475">
        <w:rPr>
          <w:rFonts w:ascii="Calibri" w:eastAsia="Arial" w:hAnsi="Calibri" w:cs="Calibri"/>
          <w:color w:val="000000"/>
          <w:sz w:val="28"/>
          <w:szCs w:val="28"/>
        </w:rPr>
        <w:t xml:space="preserve"> </w:t>
      </w:r>
    </w:p>
    <w:p w14:paraId="39FDCA82" w14:textId="77777777" w:rsidR="001D61DB" w:rsidRPr="002A7475" w:rsidRDefault="001D61DB" w:rsidP="001D61DB">
      <w:pPr>
        <w:ind w:left="708"/>
        <w:rPr>
          <w:rFonts w:ascii="Calibri" w:eastAsia="Arial" w:hAnsi="Calibri" w:cs="Calibri"/>
          <w:color w:val="000000"/>
          <w:sz w:val="28"/>
          <w:szCs w:val="28"/>
        </w:rPr>
      </w:pPr>
    </w:p>
    <w:p w14:paraId="584EB8B6"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Vanzelfsprekend is een kort geding niet geschikt voor een </w:t>
      </w:r>
      <w:proofErr w:type="spellStart"/>
      <w:r w:rsidRPr="002A7475">
        <w:rPr>
          <w:rFonts w:ascii="Calibri" w:eastAsia="Arial" w:hAnsi="Calibri" w:cs="Calibri"/>
          <w:i/>
          <w:iCs/>
          <w:color w:val="000000"/>
          <w:sz w:val="28"/>
          <w:szCs w:val="28"/>
        </w:rPr>
        <w:t>battle</w:t>
      </w:r>
      <w:proofErr w:type="spellEnd"/>
      <w:r w:rsidRPr="002A7475">
        <w:rPr>
          <w:rFonts w:ascii="Calibri" w:eastAsia="Arial" w:hAnsi="Calibri" w:cs="Calibri"/>
          <w:i/>
          <w:iCs/>
          <w:color w:val="000000"/>
          <w:sz w:val="28"/>
          <w:szCs w:val="28"/>
        </w:rPr>
        <w:t xml:space="preserve"> of </w:t>
      </w:r>
      <w:proofErr w:type="spellStart"/>
      <w:r w:rsidRPr="002A7475">
        <w:rPr>
          <w:rFonts w:ascii="Calibri" w:eastAsia="Arial" w:hAnsi="Calibri" w:cs="Calibri"/>
          <w:i/>
          <w:iCs/>
          <w:color w:val="000000"/>
          <w:sz w:val="28"/>
          <w:szCs w:val="28"/>
        </w:rPr>
        <w:t>scien</w:t>
      </w:r>
      <w:r w:rsidRPr="002A7475">
        <w:rPr>
          <w:rFonts w:ascii="Calibri" w:eastAsia="Arial" w:hAnsi="Calibri" w:cs="Calibri"/>
          <w:color w:val="000000"/>
          <w:sz w:val="28"/>
          <w:szCs w:val="28"/>
        </w:rPr>
        <w:t>ce</w:t>
      </w:r>
      <w:proofErr w:type="spellEnd"/>
      <w:r w:rsidRPr="002A7475">
        <w:rPr>
          <w:rFonts w:ascii="Calibri" w:eastAsia="Arial" w:hAnsi="Calibri" w:cs="Calibri"/>
          <w:color w:val="000000"/>
          <w:sz w:val="28"/>
          <w:szCs w:val="28"/>
        </w:rPr>
        <w:t>, doch in dit geval is het evident dat de aanname intussen elke grondslag mist. Hiermee kan gevoeglijk aangenomen worden dat de kans dat tijdens een demonstratie van 100 tot 200 personen een besmetting zou plaatsvinden statistisch nihil is.</w:t>
      </w:r>
    </w:p>
    <w:p w14:paraId="5F111600" w14:textId="77777777" w:rsidR="001D61DB" w:rsidRPr="002A7475" w:rsidRDefault="001D61DB" w:rsidP="001D61DB">
      <w:pPr>
        <w:ind w:left="708"/>
        <w:contextualSpacing/>
        <w:rPr>
          <w:rFonts w:ascii="Calibri" w:eastAsia="Arial" w:hAnsi="Calibri" w:cs="Calibri"/>
          <w:b/>
          <w:bCs/>
          <w:color w:val="000000"/>
          <w:sz w:val="28"/>
          <w:szCs w:val="28"/>
        </w:rPr>
      </w:pPr>
    </w:p>
    <w:p w14:paraId="2D85EFD1" w14:textId="77777777" w:rsidR="001D61DB" w:rsidRPr="002A7475" w:rsidRDefault="001D61DB" w:rsidP="001D61DB">
      <w:pPr>
        <w:ind w:left="1157"/>
        <w:contextualSpacing/>
        <w:jc w:val="both"/>
        <w:rPr>
          <w:rFonts w:ascii="Calibri" w:hAnsi="Calibri" w:cs="Calibri"/>
          <w:color w:val="222222"/>
          <w:kern w:val="36"/>
          <w:sz w:val="28"/>
          <w:szCs w:val="28"/>
          <w:lang w:val="en-GB"/>
        </w:rPr>
      </w:pPr>
      <w:proofErr w:type="spellStart"/>
      <w:r w:rsidRPr="002A7475">
        <w:rPr>
          <w:rFonts w:ascii="Calibri" w:eastAsia="Arial" w:hAnsi="Calibri" w:cs="Calibri"/>
          <w:b/>
          <w:bCs/>
          <w:color w:val="000000"/>
          <w:sz w:val="28"/>
          <w:szCs w:val="28"/>
          <w:lang w:val="en-GB"/>
        </w:rPr>
        <w:t>Bijlage</w:t>
      </w:r>
      <w:proofErr w:type="spellEnd"/>
      <w:r w:rsidRPr="002A7475">
        <w:rPr>
          <w:rFonts w:ascii="Calibri" w:eastAsia="Arial" w:hAnsi="Calibri" w:cs="Calibri"/>
          <w:b/>
          <w:bCs/>
          <w:color w:val="000000"/>
          <w:sz w:val="28"/>
          <w:szCs w:val="28"/>
          <w:lang w:val="en-GB"/>
        </w:rPr>
        <w:t xml:space="preserve"> 6: </w:t>
      </w:r>
      <w:r w:rsidRPr="002A7475">
        <w:rPr>
          <w:rFonts w:ascii="Calibri" w:hAnsi="Calibri" w:cs="Calibri"/>
          <w:color w:val="222222"/>
          <w:kern w:val="36"/>
          <w:sz w:val="28"/>
          <w:szCs w:val="28"/>
          <w:lang w:val="en-GB"/>
        </w:rPr>
        <w:t>Post-lockdown SARS-CoV-2 nucleic acid screening in nearly ten million residents of Wuhan, China</w:t>
      </w:r>
    </w:p>
    <w:p w14:paraId="064DFB66" w14:textId="77777777" w:rsidR="001D61DB" w:rsidRPr="002A7475" w:rsidRDefault="001D61DB" w:rsidP="001D61DB">
      <w:pPr>
        <w:ind w:left="1157"/>
        <w:contextualSpacing/>
        <w:jc w:val="both"/>
        <w:rPr>
          <w:rFonts w:ascii="Calibri" w:eastAsia="Arial" w:hAnsi="Calibri" w:cs="Calibri"/>
          <w:color w:val="000000"/>
          <w:sz w:val="28"/>
          <w:szCs w:val="28"/>
          <w:lang w:val="en-GB"/>
        </w:rPr>
      </w:pPr>
    </w:p>
    <w:p w14:paraId="78B21CB1" w14:textId="77777777" w:rsidR="001D61DB" w:rsidRPr="002A7475" w:rsidRDefault="001D61DB" w:rsidP="001D61DB">
      <w:pPr>
        <w:ind w:left="1157"/>
        <w:contextualSpacing/>
        <w:jc w:val="both"/>
        <w:rPr>
          <w:rFonts w:ascii="Calibri" w:eastAsia="Arial" w:hAnsi="Calibri" w:cs="Calibri"/>
          <w:i/>
          <w:iCs/>
          <w:color w:val="000000"/>
          <w:sz w:val="28"/>
          <w:szCs w:val="28"/>
        </w:rPr>
      </w:pPr>
      <w:r w:rsidRPr="002A7475">
        <w:rPr>
          <w:rFonts w:ascii="Calibri" w:eastAsia="Arial" w:hAnsi="Calibri" w:cs="Calibri"/>
          <w:i/>
          <w:iCs/>
          <w:color w:val="000000"/>
          <w:sz w:val="28"/>
          <w:szCs w:val="28"/>
        </w:rPr>
        <w:t>Demonstranten houden zich niet aan naleving 1,5 meterregels</w:t>
      </w:r>
    </w:p>
    <w:p w14:paraId="6403ABAF"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De burgemeester overweegt dat bij grote demonstraties de veilige 1,5 meter niet consequent nageleefd wordt.  Een nadere motivering waarom dat in dit geval een grond kan vormen om deze demonstratie te verbieden, ontbreekt.</w:t>
      </w:r>
    </w:p>
    <w:p w14:paraId="7BDE3C4D" w14:textId="77777777" w:rsidR="001D61DB" w:rsidRPr="002A7475" w:rsidRDefault="001D61DB" w:rsidP="001D61DB">
      <w:pPr>
        <w:ind w:left="1157"/>
        <w:contextualSpacing/>
        <w:jc w:val="both"/>
        <w:rPr>
          <w:rFonts w:ascii="Calibri" w:eastAsia="Arial" w:hAnsi="Calibri" w:cs="Calibri"/>
          <w:color w:val="000000"/>
          <w:sz w:val="28"/>
          <w:szCs w:val="28"/>
        </w:rPr>
      </w:pPr>
    </w:p>
    <w:p w14:paraId="17BC4D1D" w14:textId="17982934"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Verzoekers willen met hun demonstratie geen politiek statement maken en hebben in hun aanvraag duidelijk aangegeven zich aan de wettelijke regels te zullen houden. Zij zullen daarbij zelf zorgdragen </w:t>
      </w:r>
      <w:r w:rsidRPr="002A7475">
        <w:rPr>
          <w:rFonts w:ascii="Calibri" w:eastAsia="Arial" w:hAnsi="Calibri" w:cs="Calibri"/>
          <w:color w:val="000000"/>
          <w:sz w:val="28"/>
          <w:szCs w:val="28"/>
        </w:rPr>
        <w:lastRenderedPageBreak/>
        <w:t>voor naleving daarvan. Daarbij is een demonstratie van 100 tot 200 personen nauwelijks “groot” te noemen.</w:t>
      </w:r>
    </w:p>
    <w:p w14:paraId="2DE6FDD2" w14:textId="77777777" w:rsidR="001D61DB" w:rsidRPr="002A7475" w:rsidRDefault="001D61DB" w:rsidP="001D61DB">
      <w:pPr>
        <w:ind w:left="708"/>
        <w:contextualSpacing/>
        <w:rPr>
          <w:rFonts w:ascii="Calibri" w:eastAsia="Arial" w:hAnsi="Calibri" w:cs="Calibri"/>
          <w:color w:val="000000"/>
          <w:sz w:val="28"/>
          <w:szCs w:val="28"/>
        </w:rPr>
      </w:pPr>
    </w:p>
    <w:p w14:paraId="11A4222E"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De demonstratie wordt georganiseerd door en voor (ex)politiemensen. Hun taak is het handhaven van de wet. Er is daarmee geen aanleiding voor de aanname dat zij zichzelf niet aan de wet houden. </w:t>
      </w:r>
    </w:p>
    <w:p w14:paraId="60BFFDB9" w14:textId="77777777" w:rsidR="001D61DB" w:rsidRPr="002A7475" w:rsidRDefault="001D61DB" w:rsidP="001D61DB">
      <w:pPr>
        <w:ind w:left="1157"/>
        <w:contextualSpacing/>
        <w:rPr>
          <w:rFonts w:ascii="Calibri" w:eastAsia="Arial" w:hAnsi="Calibri" w:cs="Calibri"/>
          <w:color w:val="000000"/>
          <w:sz w:val="28"/>
          <w:szCs w:val="28"/>
        </w:rPr>
      </w:pPr>
    </w:p>
    <w:p w14:paraId="40759932"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Overigens dient hierbij ten overvloede nog opgemerkt dat politiemensen bij de uitvoering van hun taak uitgezonderd zijn van de plicht de veilige afstand te houden. Bij politieoptreden tijdens demonstraties staan vaak honderden politiemensen dicht op elkaar. De vraag is waarom dit, mocht het al tot een situatie komen waarbij de afstandsregels niet geheel gehandhaafd kunnen worden, tijdens een demonstratie door en voor politiemensen wel  een probleem zou zijn.</w:t>
      </w:r>
    </w:p>
    <w:p w14:paraId="7A82D7B8" w14:textId="77777777" w:rsidR="001D61DB" w:rsidRPr="002A7475" w:rsidRDefault="001D61DB" w:rsidP="001D61DB">
      <w:pPr>
        <w:ind w:left="567"/>
        <w:contextualSpacing/>
        <w:rPr>
          <w:rFonts w:ascii="Calibri" w:eastAsia="Arial" w:hAnsi="Calibri" w:cs="Calibri"/>
          <w:b/>
          <w:bCs/>
          <w:color w:val="000000"/>
          <w:sz w:val="28"/>
          <w:szCs w:val="28"/>
        </w:rPr>
      </w:pPr>
    </w:p>
    <w:p w14:paraId="089AB5C4" w14:textId="74838CBC" w:rsidR="001D61DB" w:rsidRPr="002A7475" w:rsidRDefault="001D61DB" w:rsidP="00373819">
      <w:pPr>
        <w:numPr>
          <w:ilvl w:val="0"/>
          <w:numId w:val="19"/>
        </w:numPr>
        <w:contextualSpacing/>
        <w:rPr>
          <w:rFonts w:ascii="Calibri" w:eastAsia="Arial" w:hAnsi="Calibri" w:cs="Calibri"/>
          <w:b/>
          <w:bCs/>
          <w:color w:val="000000"/>
          <w:sz w:val="28"/>
          <w:szCs w:val="28"/>
        </w:rPr>
      </w:pPr>
      <w:r w:rsidRPr="002A7475">
        <w:rPr>
          <w:rFonts w:ascii="Calibri" w:eastAsia="Arial" w:hAnsi="Calibri" w:cs="Calibri"/>
          <w:b/>
          <w:bCs/>
          <w:color w:val="000000"/>
          <w:sz w:val="28"/>
          <w:szCs w:val="28"/>
        </w:rPr>
        <w:t>Ontbreken zorgvuldige belangenafweging</w:t>
      </w:r>
    </w:p>
    <w:p w14:paraId="323BE6DD"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Het recht van betoging is een fundamenteel recht in een vrije en democratische samenleving. De </w:t>
      </w:r>
      <w:proofErr w:type="spellStart"/>
      <w:r w:rsidRPr="002A7475">
        <w:rPr>
          <w:rFonts w:ascii="Calibri" w:eastAsia="Arial" w:hAnsi="Calibri" w:cs="Calibri"/>
          <w:color w:val="000000"/>
          <w:sz w:val="28"/>
          <w:szCs w:val="28"/>
        </w:rPr>
        <w:t>Venice</w:t>
      </w:r>
      <w:proofErr w:type="spellEnd"/>
      <w:r w:rsidRPr="002A7475">
        <w:rPr>
          <w:rFonts w:ascii="Calibri" w:eastAsia="Arial" w:hAnsi="Calibri" w:cs="Calibri"/>
          <w:color w:val="000000"/>
          <w:sz w:val="28"/>
          <w:szCs w:val="28"/>
        </w:rPr>
        <w:t xml:space="preserve"> </w:t>
      </w:r>
      <w:proofErr w:type="spellStart"/>
      <w:r w:rsidRPr="002A7475">
        <w:rPr>
          <w:rFonts w:ascii="Calibri" w:eastAsia="Arial" w:hAnsi="Calibri" w:cs="Calibri"/>
          <w:color w:val="000000"/>
          <w:sz w:val="28"/>
          <w:szCs w:val="28"/>
        </w:rPr>
        <w:t>Commission</w:t>
      </w:r>
      <w:proofErr w:type="spellEnd"/>
      <w:r w:rsidRPr="002A7475">
        <w:rPr>
          <w:rFonts w:ascii="Calibri" w:eastAsia="Arial" w:hAnsi="Calibri" w:cs="Calibri"/>
          <w:color w:val="000000"/>
          <w:sz w:val="28"/>
          <w:szCs w:val="28"/>
        </w:rPr>
        <w:t xml:space="preserve"> legt de lat voor een verbod zeer hoog: </w:t>
      </w:r>
    </w:p>
    <w:p w14:paraId="3F146AC7" w14:textId="77777777" w:rsidR="001D61DB" w:rsidRPr="002A7475" w:rsidRDefault="001D61DB" w:rsidP="001D61DB">
      <w:pPr>
        <w:ind w:left="1157"/>
        <w:contextualSpacing/>
        <w:jc w:val="both"/>
        <w:rPr>
          <w:rFonts w:ascii="Calibri" w:eastAsia="Arial" w:hAnsi="Calibri" w:cs="Calibri"/>
          <w:color w:val="000000"/>
          <w:sz w:val="28"/>
          <w:szCs w:val="28"/>
        </w:rPr>
      </w:pPr>
    </w:p>
    <w:p w14:paraId="0D511A81" w14:textId="77777777" w:rsidR="001D61DB" w:rsidRPr="002A7475" w:rsidRDefault="001D61DB" w:rsidP="001D61DB">
      <w:pPr>
        <w:ind w:left="2124"/>
        <w:contextualSpacing/>
        <w:rPr>
          <w:rFonts w:ascii="Calibri" w:hAnsi="Calibri" w:cs="Calibri"/>
          <w:b/>
          <w:bCs/>
          <w:i/>
          <w:iCs/>
          <w:color w:val="000000"/>
          <w:sz w:val="28"/>
          <w:szCs w:val="28"/>
          <w:lang w:val="en-GB"/>
        </w:rPr>
      </w:pPr>
      <w:r w:rsidRPr="002A7475">
        <w:rPr>
          <w:rFonts w:ascii="Calibri" w:hAnsi="Calibri" w:cs="Calibri"/>
          <w:b/>
          <w:bCs/>
          <w:i/>
          <w:iCs/>
          <w:color w:val="000000"/>
          <w:sz w:val="28"/>
          <w:szCs w:val="28"/>
          <w:lang w:val="en-GB"/>
        </w:rPr>
        <w:t>“Prohibition as a last resort.</w:t>
      </w:r>
    </w:p>
    <w:p w14:paraId="7B7281E7" w14:textId="77777777" w:rsidR="001D61DB" w:rsidRPr="002A7475" w:rsidRDefault="001D61DB" w:rsidP="001D61DB">
      <w:pPr>
        <w:ind w:left="2124"/>
        <w:contextualSpacing/>
        <w:rPr>
          <w:rFonts w:ascii="Calibri" w:eastAsia="Arial" w:hAnsi="Calibri" w:cs="Calibri"/>
          <w:i/>
          <w:iCs/>
          <w:color w:val="000000"/>
          <w:sz w:val="28"/>
          <w:szCs w:val="28"/>
          <w:lang w:val="en-GB"/>
        </w:rPr>
      </w:pPr>
      <w:r w:rsidRPr="002A7475">
        <w:rPr>
          <w:rFonts w:ascii="Calibri" w:hAnsi="Calibri" w:cs="Calibri"/>
          <w:b/>
          <w:bCs/>
          <w:i/>
          <w:iCs/>
          <w:color w:val="000000"/>
          <w:sz w:val="28"/>
          <w:szCs w:val="28"/>
          <w:lang w:val="en-GB"/>
        </w:rPr>
        <w:t xml:space="preserve"> </w:t>
      </w:r>
      <w:r w:rsidRPr="002A7475">
        <w:rPr>
          <w:rFonts w:ascii="Calibri" w:hAnsi="Calibri" w:cs="Calibri"/>
          <w:i/>
          <w:iCs/>
          <w:color w:val="000000"/>
          <w:sz w:val="28"/>
          <w:szCs w:val="28"/>
          <w:lang w:val="en-GB"/>
        </w:rPr>
        <w:t>Prohibiting an assembly should be a measure of last resort and should only be considered when a less restrictive response would not achieve the purpose pursued by the authorities in safeguarding other relevant rights and freedoms and public order. Any ban or prohibition of an assembly should be decided upon only on a case by case basis, with the legitimacy, necessity and proportionality test to be carried out for each individual assembly. In order to justify a prohibition, the State must provide evidence that it has first attempted to facilitate an assembly, or to impose less onerous restrictions. For example, where the State argues that it has inadequate resources to protect peaceful assembly, prohibition may represent a failure of the State to meet its positive obligations.”</w:t>
      </w:r>
    </w:p>
    <w:p w14:paraId="72EE8036" w14:textId="77777777" w:rsidR="001D61DB" w:rsidRPr="002A7475" w:rsidRDefault="001D61DB" w:rsidP="001D61DB">
      <w:pPr>
        <w:ind w:left="2124"/>
        <w:contextualSpacing/>
        <w:jc w:val="both"/>
        <w:rPr>
          <w:rFonts w:ascii="Calibri" w:eastAsia="Arial" w:hAnsi="Calibri" w:cs="Calibri"/>
          <w:i/>
          <w:iCs/>
          <w:color w:val="000000"/>
          <w:sz w:val="28"/>
          <w:szCs w:val="28"/>
          <w:lang w:val="en-GB"/>
        </w:rPr>
      </w:pPr>
    </w:p>
    <w:p w14:paraId="42B99D37"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lastRenderedPageBreak/>
        <w:t xml:space="preserve">Het besluit geeft geen blijk van een zorgvuldige afweging tussen een inperking van het grondrecht op betoging en het risico voor de volksgezondheid. Zonder nadere motivering gaat het besluit ervan uit dat de minimale kans op een besmetting tijdens een betoging zwaarder weegt dan de verdragsverplichting dit recht slechts onder zeer uitzonderlijke omstandigheden in te perken. </w:t>
      </w:r>
    </w:p>
    <w:p w14:paraId="65D11BB9" w14:textId="77777777" w:rsidR="001D61DB" w:rsidRPr="002A7475" w:rsidRDefault="001D61DB" w:rsidP="001D61DB">
      <w:pPr>
        <w:ind w:left="1157"/>
        <w:contextualSpacing/>
        <w:jc w:val="both"/>
        <w:rPr>
          <w:rFonts w:ascii="Calibri" w:eastAsia="Arial" w:hAnsi="Calibri" w:cs="Calibri"/>
          <w:color w:val="000000"/>
          <w:sz w:val="28"/>
          <w:szCs w:val="28"/>
        </w:rPr>
      </w:pPr>
    </w:p>
    <w:p w14:paraId="222172C2"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Nu hiervoor aangetoond is dat het gevaar dat ten grondslag gelegd is aan het verbod zowel virtueel als zeer klein is, kan dit geen verbod rechtvaardigen. Daarmee is er geen sprake van een zorgvuldige belangenafweging. De burgemeester kon daarmee in redelijkheid niet tot een verbod komen. Het besluit kan daarmee niet in stand blijven. </w:t>
      </w:r>
    </w:p>
    <w:p w14:paraId="783C3B30" w14:textId="77777777" w:rsidR="001D61DB" w:rsidRPr="002A7475" w:rsidRDefault="001D61DB" w:rsidP="001D61DB">
      <w:pPr>
        <w:ind w:left="708"/>
        <w:contextualSpacing/>
        <w:rPr>
          <w:rFonts w:ascii="Calibri" w:eastAsia="Arial" w:hAnsi="Calibri" w:cs="Calibri"/>
          <w:color w:val="000000"/>
          <w:sz w:val="28"/>
          <w:szCs w:val="28"/>
        </w:rPr>
      </w:pPr>
    </w:p>
    <w:p w14:paraId="39B7A1EA" w14:textId="3FA9C408" w:rsidR="001D61DB" w:rsidRPr="002A7475" w:rsidRDefault="001D61DB" w:rsidP="00373819">
      <w:pPr>
        <w:numPr>
          <w:ilvl w:val="0"/>
          <w:numId w:val="19"/>
        </w:numPr>
        <w:contextualSpacing/>
        <w:jc w:val="both"/>
        <w:rPr>
          <w:rFonts w:ascii="Calibri" w:eastAsia="Arial" w:hAnsi="Calibri" w:cs="Calibri"/>
          <w:b/>
          <w:bCs/>
          <w:color w:val="000000"/>
          <w:sz w:val="28"/>
          <w:szCs w:val="28"/>
        </w:rPr>
      </w:pPr>
      <w:r w:rsidRPr="002A7475">
        <w:rPr>
          <w:rFonts w:ascii="Calibri" w:eastAsia="Arial" w:hAnsi="Calibri" w:cs="Calibri"/>
          <w:b/>
          <w:bCs/>
          <w:color w:val="000000"/>
          <w:sz w:val="28"/>
          <w:szCs w:val="28"/>
        </w:rPr>
        <w:t>Strijd gelijkheidsbeginsel</w:t>
      </w:r>
    </w:p>
    <w:p w14:paraId="54CB630D"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 xml:space="preserve">Het besluit stelt dat alle “dynamische” betogingen verboden zijn voor Midden-Nederland. Vooropgesteld dient te worden dat de vrijheid van betoging ook inhoudt dat de organisatoren bepalen op welke wijze zij invulling willen geven aan dit recht. Daartoe behoort ook het bepalen van de vorm van de demonstratie. In dit geval is gekozen voor een mars. </w:t>
      </w:r>
    </w:p>
    <w:p w14:paraId="19A3C9C9" w14:textId="77777777" w:rsidR="001D61DB" w:rsidRPr="002A7475" w:rsidRDefault="001D61DB" w:rsidP="001D61DB">
      <w:pPr>
        <w:ind w:left="1157"/>
        <w:contextualSpacing/>
        <w:jc w:val="both"/>
        <w:rPr>
          <w:rFonts w:ascii="Calibri" w:eastAsia="Arial" w:hAnsi="Calibri" w:cs="Calibri"/>
          <w:color w:val="000000"/>
          <w:sz w:val="28"/>
          <w:szCs w:val="28"/>
        </w:rPr>
      </w:pPr>
    </w:p>
    <w:p w14:paraId="3B80D240" w14:textId="77777777" w:rsidR="001D61DB" w:rsidRPr="002A7475" w:rsidRDefault="001D61DB" w:rsidP="001D61DB">
      <w:pPr>
        <w:numPr>
          <w:ilvl w:val="0"/>
          <w:numId w:val="20"/>
        </w:numPr>
        <w:contextualSpacing/>
        <w:jc w:val="both"/>
        <w:rPr>
          <w:rFonts w:ascii="Calibri" w:eastAsia="Arial" w:hAnsi="Calibri" w:cs="Calibri"/>
          <w:i/>
          <w:iCs/>
          <w:color w:val="000000"/>
          <w:sz w:val="28"/>
          <w:szCs w:val="28"/>
        </w:rPr>
      </w:pPr>
      <w:r w:rsidRPr="002A7475">
        <w:rPr>
          <w:rFonts w:ascii="Calibri" w:eastAsia="Arial" w:hAnsi="Calibri" w:cs="Calibri"/>
          <w:color w:val="000000"/>
          <w:sz w:val="28"/>
          <w:szCs w:val="28"/>
        </w:rPr>
        <w:t xml:space="preserve">De burgemeester van Amersfoort, twintig kilometer verder, gaf daarentegen gisteren voor vrijdag 9 april wel toestemming voor een fakkeltocht met een vergelijkbare omvang. Dit doet vermoeden dat hier met twee maten gemeten wordt. </w:t>
      </w:r>
    </w:p>
    <w:p w14:paraId="580EBDDC" w14:textId="77777777" w:rsidR="001D61DB" w:rsidRPr="002A7475" w:rsidRDefault="001D61DB" w:rsidP="001D61DB">
      <w:pPr>
        <w:ind w:left="708"/>
        <w:rPr>
          <w:rFonts w:ascii="Calibri" w:eastAsia="Arial" w:hAnsi="Calibri" w:cs="Calibri"/>
          <w:color w:val="000000"/>
          <w:sz w:val="28"/>
          <w:szCs w:val="28"/>
        </w:rPr>
      </w:pPr>
    </w:p>
    <w:p w14:paraId="48968E3E" w14:textId="77777777" w:rsidR="001D61DB" w:rsidRPr="002A7475" w:rsidRDefault="001D61DB" w:rsidP="001D61DB">
      <w:pPr>
        <w:numPr>
          <w:ilvl w:val="0"/>
          <w:numId w:val="20"/>
        </w:numPr>
        <w:contextualSpacing/>
        <w:jc w:val="both"/>
        <w:rPr>
          <w:rFonts w:ascii="Calibri" w:eastAsia="Arial" w:hAnsi="Calibri" w:cs="Calibri"/>
          <w:i/>
          <w:iCs/>
          <w:color w:val="000000"/>
          <w:sz w:val="28"/>
          <w:szCs w:val="28"/>
        </w:rPr>
      </w:pPr>
      <w:r w:rsidRPr="002A7475">
        <w:rPr>
          <w:rFonts w:ascii="Calibri" w:eastAsia="Arial" w:hAnsi="Calibri" w:cs="Calibri"/>
          <w:color w:val="000000"/>
          <w:sz w:val="28"/>
          <w:szCs w:val="28"/>
        </w:rPr>
        <w:t xml:space="preserve">De organisatoren merken dat hun demonstratie op weerstand stuit bij de autoriteiten. Zij werden in een brief al gesommeerd hun activiteiten te staken. Dit is vanzelfsprekend niet verenigbaar met de vrijheid van betoging. Ook politiemensen moeten in staat zijn van dit recht gebruik te maken. </w:t>
      </w:r>
    </w:p>
    <w:p w14:paraId="52DBBAE3" w14:textId="77777777" w:rsidR="001D61DB" w:rsidRPr="002A7475" w:rsidRDefault="001D61DB" w:rsidP="001D61DB">
      <w:pPr>
        <w:ind w:left="708"/>
        <w:contextualSpacing/>
        <w:rPr>
          <w:rFonts w:ascii="Calibri" w:eastAsia="Arial" w:hAnsi="Calibri" w:cs="Calibri"/>
          <w:i/>
          <w:iCs/>
          <w:color w:val="000000"/>
          <w:sz w:val="28"/>
          <w:szCs w:val="28"/>
        </w:rPr>
      </w:pPr>
    </w:p>
    <w:p w14:paraId="529D728D" w14:textId="77777777" w:rsidR="001D61DB" w:rsidRPr="002A7475" w:rsidRDefault="001D61DB" w:rsidP="001D61DB">
      <w:pPr>
        <w:numPr>
          <w:ilvl w:val="0"/>
          <w:numId w:val="20"/>
        </w:numPr>
        <w:contextualSpacing/>
        <w:jc w:val="both"/>
        <w:rPr>
          <w:rFonts w:ascii="Calibri" w:eastAsia="Arial" w:hAnsi="Calibri" w:cs="Calibri"/>
          <w:color w:val="000000"/>
          <w:sz w:val="28"/>
          <w:szCs w:val="28"/>
        </w:rPr>
      </w:pPr>
      <w:r w:rsidRPr="002A7475">
        <w:rPr>
          <w:rFonts w:ascii="Calibri" w:eastAsia="Arial" w:hAnsi="Calibri" w:cs="Calibri"/>
          <w:color w:val="000000"/>
          <w:sz w:val="28"/>
          <w:szCs w:val="28"/>
        </w:rPr>
        <w:t>Gezien het hiervoor gestelde is het verbod in strijd met het gelijkheidsbeginsel. De inhoud van een demonstratie mag nooit een rol spelen bij het besluit om tot een verbod te komen.</w:t>
      </w:r>
    </w:p>
    <w:p w14:paraId="7D406E20" w14:textId="77777777" w:rsidR="001D61DB" w:rsidRPr="002A7475" w:rsidRDefault="001D61DB" w:rsidP="001D61DB">
      <w:pPr>
        <w:ind w:left="708"/>
        <w:contextualSpacing/>
        <w:rPr>
          <w:rFonts w:ascii="Calibri" w:eastAsia="Arial" w:hAnsi="Calibri" w:cs="Calibri"/>
          <w:color w:val="000000"/>
          <w:sz w:val="28"/>
          <w:szCs w:val="28"/>
        </w:rPr>
      </w:pPr>
    </w:p>
    <w:p w14:paraId="2BCDB8D6" w14:textId="77777777" w:rsidR="001D61DB" w:rsidRPr="002A7475" w:rsidRDefault="001D61DB" w:rsidP="001D61DB">
      <w:pPr>
        <w:ind w:left="1157"/>
        <w:contextualSpacing/>
        <w:rPr>
          <w:rFonts w:ascii="Calibri" w:hAnsi="Calibri" w:cs="Calibri"/>
          <w:b/>
          <w:sz w:val="28"/>
          <w:szCs w:val="28"/>
        </w:rPr>
      </w:pPr>
      <w:r w:rsidRPr="002A7475">
        <w:rPr>
          <w:rFonts w:ascii="Calibri" w:hAnsi="Calibri" w:cs="Calibri"/>
          <w:b/>
          <w:sz w:val="28"/>
          <w:szCs w:val="28"/>
        </w:rPr>
        <w:t>Conclusie</w:t>
      </w:r>
    </w:p>
    <w:p w14:paraId="0E38C349" w14:textId="77777777" w:rsidR="001D61DB" w:rsidRPr="002A7475" w:rsidRDefault="001D61DB" w:rsidP="001D61DB">
      <w:pPr>
        <w:numPr>
          <w:ilvl w:val="0"/>
          <w:numId w:val="20"/>
        </w:numPr>
        <w:contextualSpacing/>
        <w:jc w:val="both"/>
        <w:rPr>
          <w:rFonts w:ascii="Calibri" w:hAnsi="Calibri" w:cs="Calibri"/>
          <w:bCs/>
          <w:sz w:val="28"/>
          <w:szCs w:val="28"/>
        </w:rPr>
      </w:pPr>
      <w:r w:rsidRPr="002A7475">
        <w:rPr>
          <w:rFonts w:ascii="Calibri" w:hAnsi="Calibri" w:cs="Calibri"/>
          <w:bCs/>
          <w:sz w:val="28"/>
          <w:szCs w:val="28"/>
        </w:rPr>
        <w:lastRenderedPageBreak/>
        <w:t xml:space="preserve">De coronamaatregelen lijken zich het afgelopen jaar ontwikkeld te hebben tot een </w:t>
      </w:r>
      <w:proofErr w:type="spellStart"/>
      <w:r w:rsidRPr="002A7475">
        <w:rPr>
          <w:rFonts w:ascii="Calibri" w:hAnsi="Calibri" w:cs="Calibri"/>
          <w:bCs/>
          <w:i/>
          <w:iCs/>
          <w:sz w:val="28"/>
          <w:szCs w:val="28"/>
        </w:rPr>
        <w:t>silver</w:t>
      </w:r>
      <w:proofErr w:type="spellEnd"/>
      <w:r w:rsidRPr="002A7475">
        <w:rPr>
          <w:rFonts w:ascii="Calibri" w:hAnsi="Calibri" w:cs="Calibri"/>
          <w:bCs/>
          <w:i/>
          <w:iCs/>
          <w:sz w:val="28"/>
          <w:szCs w:val="28"/>
        </w:rPr>
        <w:t xml:space="preserve"> </w:t>
      </w:r>
      <w:proofErr w:type="spellStart"/>
      <w:r w:rsidRPr="002A7475">
        <w:rPr>
          <w:rFonts w:ascii="Calibri" w:hAnsi="Calibri" w:cs="Calibri"/>
          <w:bCs/>
          <w:i/>
          <w:iCs/>
          <w:sz w:val="28"/>
          <w:szCs w:val="28"/>
        </w:rPr>
        <w:t>bullet</w:t>
      </w:r>
      <w:proofErr w:type="spellEnd"/>
      <w:r w:rsidRPr="002A7475">
        <w:rPr>
          <w:rFonts w:ascii="Calibri" w:hAnsi="Calibri" w:cs="Calibri"/>
          <w:bCs/>
          <w:i/>
          <w:iCs/>
          <w:sz w:val="28"/>
          <w:szCs w:val="28"/>
        </w:rPr>
        <w:t xml:space="preserve"> </w:t>
      </w:r>
      <w:r w:rsidRPr="002A7475">
        <w:rPr>
          <w:rFonts w:ascii="Calibri" w:hAnsi="Calibri" w:cs="Calibri"/>
          <w:bCs/>
          <w:sz w:val="28"/>
          <w:szCs w:val="28"/>
        </w:rPr>
        <w:t xml:space="preserve">voor talrijke grondrechteninperkingen. Ook het recht op betoging komt daarbij dusdanig in het gedrang dat een uitoefening daarvan niet meer volwaardig mogelijk is. </w:t>
      </w:r>
    </w:p>
    <w:p w14:paraId="32A87D52" w14:textId="77777777" w:rsidR="001D61DB" w:rsidRPr="002A7475" w:rsidRDefault="001D61DB" w:rsidP="001D61DB">
      <w:pPr>
        <w:ind w:left="1157"/>
        <w:contextualSpacing/>
        <w:jc w:val="both"/>
        <w:rPr>
          <w:rFonts w:ascii="Calibri" w:hAnsi="Calibri" w:cs="Calibri"/>
          <w:bCs/>
          <w:sz w:val="28"/>
          <w:szCs w:val="28"/>
        </w:rPr>
      </w:pPr>
    </w:p>
    <w:p w14:paraId="04DC764E" w14:textId="77777777" w:rsidR="001D61DB" w:rsidRPr="002A7475" w:rsidRDefault="001D61DB" w:rsidP="001D61DB">
      <w:pPr>
        <w:numPr>
          <w:ilvl w:val="0"/>
          <w:numId w:val="20"/>
        </w:numPr>
        <w:contextualSpacing/>
        <w:jc w:val="both"/>
        <w:rPr>
          <w:rFonts w:ascii="Calibri" w:hAnsi="Calibri" w:cs="Calibri"/>
          <w:bCs/>
          <w:sz w:val="28"/>
          <w:szCs w:val="28"/>
        </w:rPr>
      </w:pPr>
      <w:r w:rsidRPr="002A7475">
        <w:rPr>
          <w:rFonts w:ascii="Calibri" w:hAnsi="Calibri" w:cs="Calibri"/>
          <w:bCs/>
          <w:sz w:val="28"/>
          <w:szCs w:val="28"/>
        </w:rPr>
        <w:t xml:space="preserve">Het recht op betoging is echter een fundamenteel grondrecht en essentieel in een vrije en democratische samenleving. Burgers moeten de mogelijkheid hebben om hun mening kenbaar te maken. </w:t>
      </w:r>
    </w:p>
    <w:p w14:paraId="18B334B4" w14:textId="77777777" w:rsidR="001D61DB" w:rsidRPr="002A7475" w:rsidRDefault="001D61DB" w:rsidP="001D61DB">
      <w:pPr>
        <w:ind w:left="708"/>
        <w:contextualSpacing/>
        <w:rPr>
          <w:rFonts w:ascii="Calibri" w:hAnsi="Calibri" w:cs="Calibri"/>
          <w:bCs/>
          <w:sz w:val="28"/>
          <w:szCs w:val="28"/>
        </w:rPr>
      </w:pPr>
    </w:p>
    <w:p w14:paraId="2DF990DE" w14:textId="77777777" w:rsidR="001D61DB" w:rsidRPr="002A7475" w:rsidRDefault="001D61DB" w:rsidP="001D61DB">
      <w:pPr>
        <w:numPr>
          <w:ilvl w:val="0"/>
          <w:numId w:val="20"/>
        </w:numPr>
        <w:contextualSpacing/>
        <w:jc w:val="both"/>
        <w:rPr>
          <w:rFonts w:ascii="Calibri" w:hAnsi="Calibri" w:cs="Calibri"/>
          <w:bCs/>
          <w:sz w:val="28"/>
          <w:szCs w:val="28"/>
        </w:rPr>
      </w:pPr>
      <w:r w:rsidRPr="002A7475">
        <w:rPr>
          <w:rFonts w:ascii="Calibri" w:hAnsi="Calibri" w:cs="Calibri"/>
          <w:bCs/>
          <w:sz w:val="28"/>
          <w:szCs w:val="28"/>
        </w:rPr>
        <w:t>Tegen het besluit bestaan zwaarwegende bezwaargronden. Niet alleen gaat het besluit uit van een afwijkend WOM-regime zonder dat aan de voorwaarden is voldaan. Ook zijn er zwaarwegende motiveringsgebreken en ontbreekt een zorgvuldige belangenafweging. Verder maakt het verbod inbreuk op het gelijkheidsbeginsel. Uit het hiervoor gestelde volgt dat de burgemeester in redelijkheid niet tot een verbod van de demonstratie kon komen. Niet</w:t>
      </w:r>
    </w:p>
    <w:p w14:paraId="3AEC6F2B" w14:textId="77777777" w:rsidR="001D61DB" w:rsidRPr="002A7475" w:rsidRDefault="001D61DB" w:rsidP="001D61DB">
      <w:pPr>
        <w:pStyle w:val="Lijstalinea"/>
        <w:ind w:left="1157"/>
        <w:jc w:val="both"/>
        <w:rPr>
          <w:rFonts w:ascii="Calibri" w:hAnsi="Calibri" w:cs="Calibri"/>
          <w:b/>
          <w:bCs/>
          <w:iCs/>
          <w:color w:val="000000"/>
          <w:sz w:val="28"/>
          <w:szCs w:val="28"/>
        </w:rPr>
      </w:pPr>
    </w:p>
    <w:p w14:paraId="4288C31E" w14:textId="1AA8059F" w:rsidR="009C1963" w:rsidRPr="002A7475" w:rsidRDefault="009C1963" w:rsidP="001D61DB">
      <w:pPr>
        <w:pStyle w:val="Lijstalinea"/>
        <w:ind w:left="1157"/>
        <w:jc w:val="both"/>
        <w:rPr>
          <w:rFonts w:ascii="Calibri" w:hAnsi="Calibri" w:cs="Calibri"/>
          <w:b/>
          <w:bCs/>
          <w:iCs/>
          <w:color w:val="000000"/>
          <w:sz w:val="28"/>
          <w:szCs w:val="28"/>
        </w:rPr>
      </w:pPr>
      <w:r w:rsidRPr="002A7475">
        <w:rPr>
          <w:rFonts w:ascii="Calibri" w:hAnsi="Calibri" w:cs="Calibri"/>
          <w:b/>
          <w:bCs/>
          <w:iCs/>
          <w:color w:val="000000"/>
          <w:sz w:val="28"/>
          <w:szCs w:val="28"/>
        </w:rPr>
        <w:t>Spoedeisend belang</w:t>
      </w:r>
    </w:p>
    <w:p w14:paraId="13B23F2D" w14:textId="7BAE2A96" w:rsidR="009C1963" w:rsidRPr="002A7475" w:rsidRDefault="009C1963" w:rsidP="001D61DB">
      <w:pPr>
        <w:pStyle w:val="Lijstalinea"/>
        <w:numPr>
          <w:ilvl w:val="0"/>
          <w:numId w:val="20"/>
        </w:numPr>
        <w:jc w:val="both"/>
        <w:rPr>
          <w:rFonts w:ascii="Calibri" w:hAnsi="Calibri" w:cs="Calibri"/>
          <w:sz w:val="28"/>
          <w:szCs w:val="28"/>
        </w:rPr>
      </w:pPr>
      <w:r w:rsidRPr="002A7475">
        <w:rPr>
          <w:rFonts w:ascii="Calibri" w:hAnsi="Calibri" w:cs="Calibri"/>
          <w:sz w:val="28"/>
          <w:szCs w:val="28"/>
        </w:rPr>
        <w:t>Verzoeker h</w:t>
      </w:r>
      <w:r w:rsidR="00152FBA" w:rsidRPr="002A7475">
        <w:rPr>
          <w:rFonts w:ascii="Calibri" w:hAnsi="Calibri" w:cs="Calibri"/>
          <w:sz w:val="28"/>
          <w:szCs w:val="28"/>
        </w:rPr>
        <w:t>ebben</w:t>
      </w:r>
      <w:r w:rsidRPr="002A7475">
        <w:rPr>
          <w:rFonts w:ascii="Calibri" w:hAnsi="Calibri" w:cs="Calibri"/>
          <w:sz w:val="28"/>
          <w:szCs w:val="28"/>
        </w:rPr>
        <w:t xml:space="preserve"> er belang bij dat er ten aanzien van voornoemd besluit met toepassing van artikel 8:81 van de Algemene wet bestuursrecht een voorlopige voorziening wordt getroffen aangezien verzoekers een spoedeisend belang hebben.</w:t>
      </w:r>
      <w:r w:rsidR="00152FBA" w:rsidRPr="002A7475">
        <w:rPr>
          <w:rFonts w:ascii="Calibri" w:hAnsi="Calibri" w:cs="Calibri"/>
          <w:sz w:val="28"/>
          <w:szCs w:val="28"/>
        </w:rPr>
        <w:t xml:space="preserve"> Indien het besluit niet opgeschort wordt, zal de demonstratie geen doorgang kunnen vinden hetgeen een ernstige inbreuk op artikel 9 Grondwet vormt. </w:t>
      </w:r>
      <w:r w:rsidRPr="002A7475">
        <w:rPr>
          <w:rFonts w:ascii="Calibri" w:hAnsi="Calibri" w:cs="Calibri"/>
          <w:sz w:val="28"/>
          <w:szCs w:val="28"/>
        </w:rPr>
        <w:t xml:space="preserve"> Het is voor verzoekers dan ook van groot belang dat de uitvoering van </w:t>
      </w:r>
      <w:r w:rsidR="00152FBA" w:rsidRPr="002A7475">
        <w:rPr>
          <w:rFonts w:ascii="Calibri" w:hAnsi="Calibri" w:cs="Calibri"/>
          <w:sz w:val="28"/>
          <w:szCs w:val="28"/>
        </w:rPr>
        <w:t xml:space="preserve">het </w:t>
      </w:r>
      <w:r w:rsidRPr="002A7475">
        <w:rPr>
          <w:rFonts w:ascii="Calibri" w:hAnsi="Calibri" w:cs="Calibri"/>
          <w:sz w:val="28"/>
          <w:szCs w:val="28"/>
        </w:rPr>
        <w:t>besluit</w:t>
      </w:r>
      <w:r w:rsidR="00152FBA" w:rsidRPr="002A7475">
        <w:rPr>
          <w:rFonts w:ascii="Calibri" w:hAnsi="Calibri" w:cs="Calibri"/>
          <w:sz w:val="28"/>
          <w:szCs w:val="28"/>
        </w:rPr>
        <w:t xml:space="preserve"> </w:t>
      </w:r>
      <w:r w:rsidRPr="002A7475">
        <w:rPr>
          <w:rFonts w:ascii="Calibri" w:hAnsi="Calibri" w:cs="Calibri"/>
          <w:sz w:val="28"/>
          <w:szCs w:val="28"/>
        </w:rPr>
        <w:t>opgeschort word</w:t>
      </w:r>
      <w:r w:rsidR="00152FBA" w:rsidRPr="002A7475">
        <w:rPr>
          <w:rFonts w:ascii="Calibri" w:hAnsi="Calibri" w:cs="Calibri"/>
          <w:sz w:val="28"/>
          <w:szCs w:val="28"/>
        </w:rPr>
        <w:t>t</w:t>
      </w:r>
      <w:r w:rsidRPr="002A7475">
        <w:rPr>
          <w:rFonts w:ascii="Calibri" w:hAnsi="Calibri" w:cs="Calibri"/>
          <w:sz w:val="28"/>
          <w:szCs w:val="28"/>
        </w:rPr>
        <w:t xml:space="preserve"> in afwachting van de uitkomst van bezwaar en beroep. </w:t>
      </w:r>
    </w:p>
    <w:p w14:paraId="382E5CB1" w14:textId="77777777" w:rsidR="00152FBA" w:rsidRPr="002A7475" w:rsidRDefault="00152FBA" w:rsidP="00152FBA">
      <w:pPr>
        <w:pStyle w:val="Lijstalinea"/>
        <w:rPr>
          <w:rFonts w:ascii="Calibri" w:hAnsi="Calibri" w:cs="Calibri"/>
          <w:sz w:val="28"/>
          <w:szCs w:val="28"/>
        </w:rPr>
      </w:pPr>
    </w:p>
    <w:p w14:paraId="65A6C6BE" w14:textId="77777777" w:rsidR="009C1963" w:rsidRPr="002A7475" w:rsidRDefault="009C1963" w:rsidP="001D61DB">
      <w:pPr>
        <w:numPr>
          <w:ilvl w:val="0"/>
          <w:numId w:val="20"/>
        </w:numPr>
        <w:jc w:val="both"/>
        <w:rPr>
          <w:rFonts w:ascii="Calibri" w:hAnsi="Calibri" w:cs="Calibri"/>
          <w:sz w:val="28"/>
          <w:szCs w:val="28"/>
        </w:rPr>
      </w:pPr>
      <w:r w:rsidRPr="002A7475">
        <w:rPr>
          <w:rFonts w:ascii="Calibri" w:hAnsi="Calibri" w:cs="Calibri"/>
          <w:sz w:val="28"/>
          <w:szCs w:val="28"/>
        </w:rPr>
        <w:t xml:space="preserve">Redenen waarom verzoekers zich tot U wenden met het verzoek onverwijld de voorlopige voorziening te treffen, primair inhoudende dat </w:t>
      </w:r>
      <w:r w:rsidR="00152FBA" w:rsidRPr="002A7475">
        <w:rPr>
          <w:rFonts w:ascii="Calibri" w:hAnsi="Calibri" w:cs="Calibri"/>
          <w:sz w:val="28"/>
          <w:szCs w:val="28"/>
        </w:rPr>
        <w:t>het</w:t>
      </w:r>
      <w:r w:rsidRPr="002A7475">
        <w:rPr>
          <w:rFonts w:ascii="Calibri" w:hAnsi="Calibri" w:cs="Calibri"/>
          <w:sz w:val="28"/>
          <w:szCs w:val="28"/>
        </w:rPr>
        <w:t xml:space="preserve"> besluit opgeschort wor</w:t>
      </w:r>
      <w:r w:rsidR="00152FBA" w:rsidRPr="002A7475">
        <w:rPr>
          <w:rFonts w:ascii="Calibri" w:hAnsi="Calibri" w:cs="Calibri"/>
          <w:sz w:val="28"/>
          <w:szCs w:val="28"/>
        </w:rPr>
        <w:t>dt</w:t>
      </w:r>
      <w:r w:rsidRPr="002A7475">
        <w:rPr>
          <w:rFonts w:ascii="Calibri" w:hAnsi="Calibri" w:cs="Calibri"/>
          <w:sz w:val="28"/>
          <w:szCs w:val="28"/>
        </w:rPr>
        <w:t xml:space="preserve"> subsidiair een zodanige voorlopige voorziening te treffen als U, president, in goede justitie zal vermenen te behoren, met veroordeling van verweerster in de kosten die cliënten in verband met de behandeling van dit verzoek redelijkerwijs hebben moeten maken.</w:t>
      </w:r>
    </w:p>
    <w:p w14:paraId="4A235C10" w14:textId="77777777" w:rsidR="009C1963" w:rsidRPr="002A7475" w:rsidRDefault="009C1963" w:rsidP="009C1963">
      <w:pPr>
        <w:jc w:val="both"/>
        <w:rPr>
          <w:rFonts w:ascii="Calibri" w:hAnsi="Calibri" w:cs="Calibri"/>
          <w:sz w:val="28"/>
          <w:szCs w:val="28"/>
        </w:rPr>
      </w:pPr>
    </w:p>
    <w:p w14:paraId="498FA103" w14:textId="77777777" w:rsidR="009C1963" w:rsidRPr="002A7475" w:rsidRDefault="009C1963" w:rsidP="009C1963">
      <w:pPr>
        <w:jc w:val="both"/>
        <w:rPr>
          <w:rFonts w:ascii="Calibri" w:hAnsi="Calibri" w:cs="Calibri"/>
          <w:sz w:val="28"/>
          <w:szCs w:val="28"/>
          <w:lang w:val="en-GB"/>
        </w:rPr>
      </w:pPr>
      <w:proofErr w:type="spellStart"/>
      <w:r w:rsidRPr="002A7475">
        <w:rPr>
          <w:rFonts w:ascii="Calibri" w:hAnsi="Calibri" w:cs="Calibri"/>
          <w:sz w:val="28"/>
          <w:szCs w:val="28"/>
          <w:lang w:val="en-GB"/>
        </w:rPr>
        <w:t>Hoogachtend</w:t>
      </w:r>
      <w:proofErr w:type="spellEnd"/>
      <w:r w:rsidRPr="002A7475">
        <w:rPr>
          <w:rFonts w:ascii="Calibri" w:hAnsi="Calibri" w:cs="Calibri"/>
          <w:sz w:val="28"/>
          <w:szCs w:val="28"/>
          <w:lang w:val="en-GB"/>
        </w:rPr>
        <w:t>,</w:t>
      </w:r>
    </w:p>
    <w:p w14:paraId="2620C9B5" w14:textId="77777777" w:rsidR="009C1963" w:rsidRPr="002A7475" w:rsidRDefault="003B0BC5" w:rsidP="009C1963">
      <w:pPr>
        <w:jc w:val="both"/>
        <w:rPr>
          <w:rFonts w:ascii="Calibri" w:hAnsi="Calibri" w:cs="Calibri"/>
          <w:sz w:val="28"/>
          <w:szCs w:val="28"/>
          <w:lang w:val="en-US"/>
        </w:rPr>
      </w:pPr>
      <w:r>
        <w:rPr>
          <w:rFonts w:ascii="Calibri" w:hAnsi="Calibri" w:cs="Calibri"/>
          <w:noProof/>
          <w:sz w:val="28"/>
          <w:szCs w:val="28"/>
        </w:rPr>
        <w:lastRenderedPageBreak/>
        <w:pict w14:anchorId="1295C5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3" o:spid="_x0000_s1029" type="#_x0000_t75" alt="handtekening" style="position:absolute;left:0;text-align:left;margin-left:-22.95pt;margin-top:.35pt;width:185.1pt;height:64.6pt;z-index:-1;visibility:visible" filled="t">
            <v:fill opacity="0"/>
            <v:imagedata r:id="rId10" o:title="handtekening"/>
          </v:shape>
        </w:pict>
      </w:r>
    </w:p>
    <w:p w14:paraId="52E6E185" w14:textId="77777777" w:rsidR="009C1963" w:rsidRPr="00373819" w:rsidRDefault="009C1963" w:rsidP="009C1963">
      <w:pPr>
        <w:jc w:val="both"/>
        <w:rPr>
          <w:rFonts w:ascii="Calibri" w:hAnsi="Calibri" w:cs="Calibri"/>
          <w:sz w:val="28"/>
          <w:szCs w:val="28"/>
          <w:lang w:val="en-GB"/>
        </w:rPr>
      </w:pPr>
      <w:r w:rsidRPr="002A7475">
        <w:rPr>
          <w:rFonts w:ascii="Calibri" w:hAnsi="Calibri" w:cs="Calibri"/>
          <w:sz w:val="28"/>
          <w:szCs w:val="28"/>
          <w:lang w:val="en-US"/>
        </w:rPr>
        <w:t>Mr. J.S. Pols.</w:t>
      </w:r>
    </w:p>
    <w:p w14:paraId="7E669111" w14:textId="77777777" w:rsidR="008B3127" w:rsidRPr="00373819" w:rsidRDefault="008B3127" w:rsidP="009C1963">
      <w:pPr>
        <w:pStyle w:val="Lijstalinea"/>
        <w:ind w:left="708"/>
        <w:jc w:val="both"/>
        <w:rPr>
          <w:rFonts w:ascii="Calibri" w:hAnsi="Calibri" w:cs="Calibri"/>
          <w:sz w:val="28"/>
          <w:szCs w:val="28"/>
          <w:lang w:val="en-GB"/>
        </w:rPr>
      </w:pPr>
    </w:p>
    <w:p w14:paraId="3FD82CA4" w14:textId="77777777" w:rsidR="00152FBA" w:rsidRPr="00373819" w:rsidRDefault="00152FBA">
      <w:pPr>
        <w:pStyle w:val="Lijstalinea"/>
        <w:ind w:left="708"/>
        <w:jc w:val="both"/>
        <w:rPr>
          <w:rFonts w:ascii="Calibri" w:hAnsi="Calibri" w:cs="Calibri"/>
          <w:sz w:val="28"/>
          <w:szCs w:val="28"/>
          <w:lang w:val="en-GB"/>
        </w:rPr>
      </w:pPr>
    </w:p>
    <w:sectPr w:rsidR="00152FBA" w:rsidRPr="00373819" w:rsidSect="00AE61CE">
      <w:headerReference w:type="default" r:id="rId11"/>
      <w:pgSz w:w="11906" w:h="16838"/>
      <w:pgMar w:top="1418" w:right="1418" w:bottom="2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9D10EF" w14:textId="77777777" w:rsidR="003B0BC5" w:rsidRDefault="003B0BC5">
      <w:r>
        <w:separator/>
      </w:r>
    </w:p>
  </w:endnote>
  <w:endnote w:type="continuationSeparator" w:id="0">
    <w:p w14:paraId="6A0A644C" w14:textId="77777777" w:rsidR="003B0BC5" w:rsidRDefault="003B0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DE4F6C" w14:textId="77777777" w:rsidR="003B0BC5" w:rsidRDefault="003B0BC5">
      <w:r>
        <w:separator/>
      </w:r>
    </w:p>
  </w:footnote>
  <w:footnote w:type="continuationSeparator" w:id="0">
    <w:p w14:paraId="1F361495" w14:textId="77777777" w:rsidR="003B0BC5" w:rsidRDefault="003B0BC5">
      <w:r>
        <w:continuationSeparator/>
      </w:r>
    </w:p>
  </w:footnote>
  <w:footnote w:id="1">
    <w:p w14:paraId="5A376652" w14:textId="77777777" w:rsidR="001D61DB" w:rsidRPr="001D61DB" w:rsidRDefault="001D61DB" w:rsidP="001D61DB">
      <w:pPr>
        <w:pStyle w:val="xmsonormal"/>
        <w:shd w:val="clear" w:color="auto" w:fill="FFFFFF"/>
        <w:spacing w:before="0" w:beforeAutospacing="0" w:after="0" w:afterAutospacing="0"/>
        <w:contextualSpacing/>
        <w:rPr>
          <w:rFonts w:ascii="Calibri" w:hAnsi="Calibri" w:cs="Calibri"/>
          <w:i/>
          <w:iCs/>
          <w:sz w:val="18"/>
          <w:szCs w:val="18"/>
        </w:rPr>
      </w:pPr>
      <w:r>
        <w:rPr>
          <w:rStyle w:val="Voetnootmarkering"/>
        </w:rPr>
        <w:footnoteRef/>
      </w:r>
      <w:r w:rsidRPr="00B15F38">
        <w:rPr>
          <w:lang w:val="en-GB"/>
        </w:rPr>
        <w:t xml:space="preserve"> </w:t>
      </w:r>
      <w:hyperlink r:id="rId1" w:tgtFrame="_blank" w:tooltip="Durch Outlook geschützt: https://www.researchgate.net/publication/344814101_Rapid_Scoping_Review_of_Evidence_of_Outdoor_Transmission_of_COVID-19. Klicken oder tippen Sie, um dem Link zu folgen." w:history="1">
        <w:r w:rsidRPr="001D61DB">
          <w:rPr>
            <w:rStyle w:val="Hyperlink"/>
            <w:rFonts w:ascii="Calibri" w:hAnsi="Calibri" w:cs="Calibri"/>
            <w:i/>
            <w:iCs/>
            <w:color w:val="auto"/>
            <w:sz w:val="18"/>
            <w:szCs w:val="18"/>
            <w:bdr w:val="none" w:sz="0" w:space="0" w:color="auto" w:frame="1"/>
          </w:rPr>
          <w:t>https://www.researchgate.net/publication/344814101_Rapid_Scoping_Review_of_Evidence_of_Outdoor_Transmission_of_COVID-19</w:t>
        </w:r>
      </w:hyperlink>
      <w:hyperlink r:id="rId2" w:tgtFrame="_blank" w:tooltip="Durch Outlook geschützt: https://drive.google.com/file/d/1r9UTIdh_DTHHmq-2Rxz5curdHeN3SM5k/view. Klicken oder tippen Sie, um dem Link zu folgen." w:history="1">
        <w:r w:rsidRPr="001D61DB">
          <w:rPr>
            <w:rStyle w:val="Hyperlink"/>
            <w:rFonts w:ascii="Calibri" w:hAnsi="Calibri" w:cs="Calibri"/>
            <w:i/>
            <w:iCs/>
            <w:color w:val="auto"/>
            <w:sz w:val="18"/>
            <w:szCs w:val="18"/>
            <w:bdr w:val="none" w:sz="0" w:space="0" w:color="auto" w:frame="1"/>
          </w:rPr>
          <w:t>https://drive.google.com/file/d/1r9UTIdh_DTHHmq-2Rxz5curdHeN3SM5k/view</w:t>
        </w:r>
      </w:hyperlink>
    </w:p>
    <w:p w14:paraId="1A5D312E" w14:textId="77777777" w:rsidR="001D61DB" w:rsidRPr="001D61DB" w:rsidRDefault="001D61DB" w:rsidP="001D61DB">
      <w:pPr>
        <w:pStyle w:val="xmsonormal"/>
        <w:shd w:val="clear" w:color="auto" w:fill="FFFFFF"/>
        <w:spacing w:before="0" w:beforeAutospacing="0" w:after="0" w:afterAutospacing="0"/>
        <w:contextualSpacing/>
        <w:rPr>
          <w:rFonts w:ascii="Calibri" w:hAnsi="Calibri" w:cs="Calibri"/>
          <w:i/>
          <w:iCs/>
          <w:sz w:val="18"/>
          <w:szCs w:val="18"/>
        </w:rPr>
      </w:pPr>
      <w:r w:rsidRPr="001D61DB">
        <w:rPr>
          <w:rFonts w:ascii="Calibri" w:hAnsi="Calibri" w:cs="Calibri"/>
          <w:i/>
          <w:iCs/>
          <w:sz w:val="18"/>
          <w:szCs w:val="18"/>
          <w:bdr w:val="none" w:sz="0" w:space="0" w:color="auto" w:frame="1"/>
        </w:rPr>
        <w:t> </w:t>
      </w:r>
      <w:hyperlink r:id="rId3" w:tgtFrame="_blank" w:tooltip="Durch Outlook geschützt: https://www.buzz.ie/health-fitness/new-report-finds-outdoor-transmissions-account-for-0-1-of-covid-19-426467. Klicken oder tippen Sie, um dem Link zu folgen." w:history="1">
        <w:r w:rsidRPr="001D61DB">
          <w:rPr>
            <w:rStyle w:val="Hyperlink"/>
            <w:rFonts w:ascii="Calibri" w:hAnsi="Calibri" w:cs="Calibri"/>
            <w:i/>
            <w:iCs/>
            <w:color w:val="auto"/>
            <w:sz w:val="18"/>
            <w:szCs w:val="18"/>
            <w:bdr w:val="none" w:sz="0" w:space="0" w:color="auto" w:frame="1"/>
          </w:rPr>
          <w:t>https://www.buzz.ie/health-fitness/new-report-finds-outdoor-transmissions-account-for-0-1-of-covid-19-426467</w:t>
        </w:r>
      </w:hyperlink>
    </w:p>
    <w:p w14:paraId="04347FF1" w14:textId="77777777" w:rsidR="001D61DB" w:rsidRPr="00B15F38" w:rsidRDefault="001D61DB" w:rsidP="001D61DB">
      <w:pPr>
        <w:pStyle w:val="Voetnoottekst"/>
        <w:contextualSpacing/>
      </w:pPr>
    </w:p>
  </w:footnote>
  <w:footnote w:id="2">
    <w:p w14:paraId="6D1CE5F0" w14:textId="77777777" w:rsidR="001D61DB" w:rsidRPr="00B15F38" w:rsidRDefault="001D61DB" w:rsidP="001D61DB">
      <w:pPr>
        <w:pStyle w:val="Voetnoottekst"/>
        <w:contextualSpacing/>
        <w:rPr>
          <w:lang w:val="en-GB"/>
        </w:rPr>
      </w:pPr>
      <w:r>
        <w:rPr>
          <w:rStyle w:val="Voetnootmarkering"/>
        </w:rPr>
        <w:footnoteRef/>
      </w:r>
      <w:r w:rsidRPr="00B15F38">
        <w:rPr>
          <w:lang w:val="en-GB"/>
        </w:rPr>
        <w:t xml:space="preserve"> </w:t>
      </w:r>
      <w:hyperlink r:id="rId4" w:history="1">
        <w:r w:rsidRPr="00B15F38">
          <w:rPr>
            <w:lang w:val="en-GB"/>
          </w:rPr>
          <w:t>Presumed Asymptomatic Carrier Transmission of COVID-19 | Infectious Diseases | JAMA | JAMA Network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A1A71" w14:textId="77777777" w:rsidR="008C68D0" w:rsidRPr="009E01DB" w:rsidRDefault="003B0BC5" w:rsidP="00E86EA8">
    <w:pPr>
      <w:pStyle w:val="Koptekst"/>
      <w:jc w:val="center"/>
      <w:rPr>
        <w:rFonts w:ascii="Garamond" w:hAnsi="Garamond"/>
        <w:sz w:val="20"/>
        <w:szCs w:val="20"/>
      </w:rPr>
    </w:pPr>
    <w:r>
      <w:rPr>
        <w:rFonts w:ascii="Garamond" w:hAnsi="Garamond"/>
        <w:noProof/>
        <w:sz w:val="20"/>
        <w:szCs w:val="20"/>
        <w:lang w:eastAsia="zh-TW"/>
      </w:rPr>
      <w:pict w14:anchorId="4CFD49CF">
        <v:rect id="_x0000_s2049" style="position:absolute;left:0;text-align:left;margin-left:539.75pt;margin-top:556.6pt;width:40.2pt;height:171.9pt;z-index:1;mso-position-horizontal-relative:page;mso-position-vertical-relative:page;v-text-anchor:middle" o:allowincell="f" filled="f" stroked="f">
          <v:textbox style="layout-flow:vertical;mso-layout-flow-alt:bottom-to-top;mso-next-textbox:#_x0000_s2049;mso-fit-shape-to-text:t">
            <w:txbxContent>
              <w:p w14:paraId="22450E71" w14:textId="77777777" w:rsidR="008C68D0" w:rsidRPr="008B3127" w:rsidRDefault="008C68D0">
                <w:pPr>
                  <w:pStyle w:val="Voettekst"/>
                  <w:rPr>
                    <w:rFonts w:ascii="Cambria" w:hAnsi="Cambria"/>
                    <w:sz w:val="44"/>
                    <w:szCs w:val="44"/>
                  </w:rPr>
                </w:pPr>
                <w:r w:rsidRPr="008B3127">
                  <w:rPr>
                    <w:rFonts w:ascii="Cambria" w:hAnsi="Cambria"/>
                  </w:rPr>
                  <w:t>Pagina</w:t>
                </w:r>
                <w:r>
                  <w:fldChar w:fldCharType="begin"/>
                </w:r>
                <w:r>
                  <w:instrText xml:space="preserve"> PAGE    \* MERGEFORMAT </w:instrText>
                </w:r>
                <w:r>
                  <w:fldChar w:fldCharType="separate"/>
                </w:r>
                <w:r w:rsidR="00622C21" w:rsidRPr="00622C21">
                  <w:rPr>
                    <w:rFonts w:ascii="Cambria" w:hAnsi="Cambria"/>
                    <w:noProof/>
                    <w:sz w:val="44"/>
                    <w:szCs w:val="44"/>
                  </w:rPr>
                  <w:t>2</w:t>
                </w:r>
                <w:r>
                  <w:fldChar w:fldCharType="end"/>
                </w:r>
              </w:p>
            </w:txbxContent>
          </v:textbox>
          <w10:wrap anchorx="page" anchory="margin"/>
        </v:rect>
      </w:pict>
    </w:r>
    <w:r w:rsidR="008C68D0" w:rsidRPr="009E01DB">
      <w:rPr>
        <w:rFonts w:ascii="Garamond" w:hAnsi="Garamond"/>
        <w:sz w:val="20"/>
        <w:szCs w:val="20"/>
      </w:rPr>
      <w:t>M R .</w:t>
    </w:r>
    <w:r w:rsidR="008C68D0">
      <w:rPr>
        <w:rFonts w:ascii="Garamond" w:hAnsi="Garamond"/>
        <w:sz w:val="20"/>
        <w:szCs w:val="20"/>
      </w:rPr>
      <w:t xml:space="preserve"> </w:t>
    </w:r>
    <w:r w:rsidR="008C68D0" w:rsidRPr="009E01DB">
      <w:rPr>
        <w:rFonts w:ascii="Garamond" w:hAnsi="Garamond"/>
        <w:sz w:val="20"/>
        <w:szCs w:val="20"/>
      </w:rPr>
      <w:t>J . S .</w:t>
    </w:r>
    <w:r w:rsidR="008C68D0">
      <w:rPr>
        <w:rFonts w:ascii="Garamond" w:hAnsi="Garamond"/>
        <w:sz w:val="20"/>
        <w:szCs w:val="20"/>
      </w:rPr>
      <w:t xml:space="preserve"> </w:t>
    </w:r>
    <w:r w:rsidR="008C68D0" w:rsidRPr="009E01DB">
      <w:rPr>
        <w:rFonts w:ascii="Garamond" w:hAnsi="Garamond"/>
        <w:sz w:val="20"/>
        <w:szCs w:val="20"/>
      </w:rPr>
      <w:t>P O L 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E6D2A"/>
    <w:multiLevelType w:val="hybridMultilevel"/>
    <w:tmpl w:val="3F96C230"/>
    <w:lvl w:ilvl="0" w:tplc="2EAA7DBE">
      <w:start w:val="3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7221D5"/>
    <w:multiLevelType w:val="hybridMultilevel"/>
    <w:tmpl w:val="09D44A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5612994"/>
    <w:multiLevelType w:val="hybridMultilevel"/>
    <w:tmpl w:val="1BFA8E94"/>
    <w:lvl w:ilvl="0" w:tplc="C24C87BE">
      <w:start w:val="1"/>
      <w:numFmt w:val="decimal"/>
      <w:lvlText w:val="%1."/>
      <w:lvlJc w:val="left"/>
      <w:pPr>
        <w:ind w:left="502" w:hanging="360"/>
      </w:pPr>
      <w:rPr>
        <w:rFonts w:hint="default"/>
        <w:b w:val="0"/>
        <w:i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C70514"/>
    <w:multiLevelType w:val="hybridMultilevel"/>
    <w:tmpl w:val="72443CF8"/>
    <w:lvl w:ilvl="0" w:tplc="1FCC2388">
      <w:start w:val="1"/>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4" w15:restartNumberingAfterBreak="0">
    <w:nsid w:val="2EA94D30"/>
    <w:multiLevelType w:val="hybridMultilevel"/>
    <w:tmpl w:val="4D8E9D94"/>
    <w:lvl w:ilvl="0" w:tplc="65A4C6A2">
      <w:start w:val="1"/>
      <w:numFmt w:val="lowerLetter"/>
      <w:lvlText w:val="%1."/>
      <w:lvlJc w:val="left"/>
      <w:pPr>
        <w:ind w:left="1068" w:hanging="360"/>
      </w:pPr>
      <w:rPr>
        <w:rFonts w:hint="default"/>
        <w:i/>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31FA721A"/>
    <w:multiLevelType w:val="hybridMultilevel"/>
    <w:tmpl w:val="D9C26C7A"/>
    <w:lvl w:ilvl="0" w:tplc="4508CED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3AAF1413"/>
    <w:multiLevelType w:val="hybridMultilevel"/>
    <w:tmpl w:val="A956F85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C7C22F3"/>
    <w:multiLevelType w:val="hybridMultilevel"/>
    <w:tmpl w:val="354047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041FF7"/>
    <w:multiLevelType w:val="hybridMultilevel"/>
    <w:tmpl w:val="D6C61E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5CE2CB0"/>
    <w:multiLevelType w:val="hybridMultilevel"/>
    <w:tmpl w:val="02B8BC2E"/>
    <w:lvl w:ilvl="0" w:tplc="474C88D6">
      <w:start w:val="2"/>
      <w:numFmt w:val="bullet"/>
      <w:lvlText w:val="-"/>
      <w:lvlJc w:val="left"/>
      <w:pPr>
        <w:ind w:left="862" w:hanging="360"/>
      </w:pPr>
      <w:rPr>
        <w:rFonts w:ascii="Arial" w:eastAsia="Times New Roman" w:hAnsi="Arial" w:cs="Aria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0" w15:restartNumberingAfterBreak="0">
    <w:nsid w:val="46020266"/>
    <w:multiLevelType w:val="hybridMultilevel"/>
    <w:tmpl w:val="6EBA3C68"/>
    <w:lvl w:ilvl="0" w:tplc="BF6ADD40">
      <w:start w:val="1"/>
      <w:numFmt w:val="bullet"/>
      <w:lvlText w:val="-"/>
      <w:lvlJc w:val="left"/>
      <w:pPr>
        <w:ind w:left="1836" w:hanging="360"/>
      </w:pPr>
      <w:rPr>
        <w:rFonts w:ascii="Calibri" w:eastAsia="Arial" w:hAnsi="Calibri" w:cs="Calibri" w:hint="default"/>
      </w:rPr>
    </w:lvl>
    <w:lvl w:ilvl="1" w:tplc="04130003" w:tentative="1">
      <w:start w:val="1"/>
      <w:numFmt w:val="bullet"/>
      <w:lvlText w:val="o"/>
      <w:lvlJc w:val="left"/>
      <w:pPr>
        <w:ind w:left="2556" w:hanging="360"/>
      </w:pPr>
      <w:rPr>
        <w:rFonts w:ascii="Courier New" w:hAnsi="Courier New" w:cs="Courier New" w:hint="default"/>
      </w:rPr>
    </w:lvl>
    <w:lvl w:ilvl="2" w:tplc="04130005" w:tentative="1">
      <w:start w:val="1"/>
      <w:numFmt w:val="bullet"/>
      <w:lvlText w:val=""/>
      <w:lvlJc w:val="left"/>
      <w:pPr>
        <w:ind w:left="3276" w:hanging="360"/>
      </w:pPr>
      <w:rPr>
        <w:rFonts w:ascii="Wingdings" w:hAnsi="Wingdings" w:hint="default"/>
      </w:rPr>
    </w:lvl>
    <w:lvl w:ilvl="3" w:tplc="04130001" w:tentative="1">
      <w:start w:val="1"/>
      <w:numFmt w:val="bullet"/>
      <w:lvlText w:val=""/>
      <w:lvlJc w:val="left"/>
      <w:pPr>
        <w:ind w:left="3996" w:hanging="360"/>
      </w:pPr>
      <w:rPr>
        <w:rFonts w:ascii="Symbol" w:hAnsi="Symbol" w:hint="default"/>
      </w:rPr>
    </w:lvl>
    <w:lvl w:ilvl="4" w:tplc="04130003" w:tentative="1">
      <w:start w:val="1"/>
      <w:numFmt w:val="bullet"/>
      <w:lvlText w:val="o"/>
      <w:lvlJc w:val="left"/>
      <w:pPr>
        <w:ind w:left="4716" w:hanging="360"/>
      </w:pPr>
      <w:rPr>
        <w:rFonts w:ascii="Courier New" w:hAnsi="Courier New" w:cs="Courier New" w:hint="default"/>
      </w:rPr>
    </w:lvl>
    <w:lvl w:ilvl="5" w:tplc="04130005" w:tentative="1">
      <w:start w:val="1"/>
      <w:numFmt w:val="bullet"/>
      <w:lvlText w:val=""/>
      <w:lvlJc w:val="left"/>
      <w:pPr>
        <w:ind w:left="5436" w:hanging="360"/>
      </w:pPr>
      <w:rPr>
        <w:rFonts w:ascii="Wingdings" w:hAnsi="Wingdings" w:hint="default"/>
      </w:rPr>
    </w:lvl>
    <w:lvl w:ilvl="6" w:tplc="04130001" w:tentative="1">
      <w:start w:val="1"/>
      <w:numFmt w:val="bullet"/>
      <w:lvlText w:val=""/>
      <w:lvlJc w:val="left"/>
      <w:pPr>
        <w:ind w:left="6156" w:hanging="360"/>
      </w:pPr>
      <w:rPr>
        <w:rFonts w:ascii="Symbol" w:hAnsi="Symbol" w:hint="default"/>
      </w:rPr>
    </w:lvl>
    <w:lvl w:ilvl="7" w:tplc="04130003" w:tentative="1">
      <w:start w:val="1"/>
      <w:numFmt w:val="bullet"/>
      <w:lvlText w:val="o"/>
      <w:lvlJc w:val="left"/>
      <w:pPr>
        <w:ind w:left="6876" w:hanging="360"/>
      </w:pPr>
      <w:rPr>
        <w:rFonts w:ascii="Courier New" w:hAnsi="Courier New" w:cs="Courier New" w:hint="default"/>
      </w:rPr>
    </w:lvl>
    <w:lvl w:ilvl="8" w:tplc="04130005" w:tentative="1">
      <w:start w:val="1"/>
      <w:numFmt w:val="bullet"/>
      <w:lvlText w:val=""/>
      <w:lvlJc w:val="left"/>
      <w:pPr>
        <w:ind w:left="7596" w:hanging="360"/>
      </w:pPr>
      <w:rPr>
        <w:rFonts w:ascii="Wingdings" w:hAnsi="Wingdings" w:hint="default"/>
      </w:rPr>
    </w:lvl>
  </w:abstractNum>
  <w:abstractNum w:abstractNumId="11" w15:restartNumberingAfterBreak="0">
    <w:nsid w:val="49D71333"/>
    <w:multiLevelType w:val="hybridMultilevel"/>
    <w:tmpl w:val="DE4A3644"/>
    <w:lvl w:ilvl="0" w:tplc="AA9CB756">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550A1ACA"/>
    <w:multiLevelType w:val="hybridMultilevel"/>
    <w:tmpl w:val="8BEC7B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54B5D7F"/>
    <w:multiLevelType w:val="hybridMultilevel"/>
    <w:tmpl w:val="C53E7702"/>
    <w:lvl w:ilvl="0" w:tplc="EF9A99DA">
      <w:start w:val="5"/>
      <w:numFmt w:val="decimal"/>
      <w:lvlText w:val="%1."/>
      <w:lvlJc w:val="left"/>
      <w:pPr>
        <w:ind w:left="1157" w:hanging="590"/>
      </w:pPr>
      <w:rPr>
        <w:rFonts w:ascii="Calibri" w:eastAsia="Arial" w:hAnsi="Calibri" w:cs="Calibri" w:hint="default"/>
        <w:b w:val="0"/>
        <w:i w:val="0"/>
        <w:strike w:val="0"/>
        <w:dstrike w:val="0"/>
        <w:color w:val="000000"/>
        <w:sz w:val="28"/>
        <w:szCs w:val="28"/>
        <w:u w:val="none" w:color="000000"/>
        <w:bdr w:val="none" w:sz="0" w:space="0" w:color="auto"/>
        <w:shd w:val="clear" w:color="auto" w:fill="auto"/>
        <w:vertAlign w:val="baseline"/>
      </w:rPr>
    </w:lvl>
    <w:lvl w:ilvl="1" w:tplc="A8902372">
      <w:start w:val="1"/>
      <w:numFmt w:val="decimal"/>
      <w:lvlText w:val="%2."/>
      <w:lvlJc w:val="left"/>
      <w:pPr>
        <w:ind w:left="253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3DA2FCFC">
      <w:start w:val="1"/>
      <w:numFmt w:val="lowerRoman"/>
      <w:lvlText w:val="%3"/>
      <w:lvlJc w:val="left"/>
      <w:pPr>
        <w:ind w:left="357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D61433DC">
      <w:start w:val="1"/>
      <w:numFmt w:val="decimal"/>
      <w:lvlText w:val="%4"/>
      <w:lvlJc w:val="left"/>
      <w:pPr>
        <w:ind w:left="429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F1AAA8D8">
      <w:start w:val="1"/>
      <w:numFmt w:val="lowerLetter"/>
      <w:lvlText w:val="%5"/>
      <w:lvlJc w:val="left"/>
      <w:pPr>
        <w:ind w:left="501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D6B8D18C">
      <w:start w:val="1"/>
      <w:numFmt w:val="lowerRoman"/>
      <w:lvlText w:val="%6"/>
      <w:lvlJc w:val="left"/>
      <w:pPr>
        <w:ind w:left="573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5F48BC00">
      <w:start w:val="1"/>
      <w:numFmt w:val="decimal"/>
      <w:lvlText w:val="%7"/>
      <w:lvlJc w:val="left"/>
      <w:pPr>
        <w:ind w:left="645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E506A252">
      <w:start w:val="1"/>
      <w:numFmt w:val="lowerLetter"/>
      <w:lvlText w:val="%8"/>
      <w:lvlJc w:val="left"/>
      <w:pPr>
        <w:ind w:left="717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9EB62D72">
      <w:start w:val="1"/>
      <w:numFmt w:val="lowerRoman"/>
      <w:lvlText w:val="%9"/>
      <w:lvlJc w:val="left"/>
      <w:pPr>
        <w:ind w:left="789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60B1A7A"/>
    <w:multiLevelType w:val="hybridMultilevel"/>
    <w:tmpl w:val="ED9636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A9B3503"/>
    <w:multiLevelType w:val="hybridMultilevel"/>
    <w:tmpl w:val="E696CD7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7724761"/>
    <w:multiLevelType w:val="hybridMultilevel"/>
    <w:tmpl w:val="EE98C680"/>
    <w:lvl w:ilvl="0" w:tplc="8C8C640E">
      <w:start w:val="1"/>
      <w:numFmt w:val="lowerLetter"/>
      <w:lvlText w:val="%1."/>
      <w:lvlJc w:val="left"/>
      <w:pPr>
        <w:ind w:left="1776" w:hanging="360"/>
      </w:pPr>
      <w:rPr>
        <w:rFonts w:hint="default"/>
        <w:b/>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7" w15:restartNumberingAfterBreak="0">
    <w:nsid w:val="67AA2C8A"/>
    <w:multiLevelType w:val="hybridMultilevel"/>
    <w:tmpl w:val="99E0A5C6"/>
    <w:lvl w:ilvl="0" w:tplc="DA50ED4C">
      <w:start w:val="17"/>
      <w:numFmt w:val="decimal"/>
      <w:lvlText w:val="%1."/>
      <w:lvlJc w:val="left"/>
      <w:pPr>
        <w:ind w:left="1157" w:hanging="590"/>
      </w:pPr>
      <w:rPr>
        <w:rFonts w:ascii="Calibri" w:eastAsia="Arial" w:hAnsi="Calibri" w:cs="Calibri" w:hint="default"/>
        <w:b w:val="0"/>
        <w:i w:val="0"/>
        <w:strike w:val="0"/>
        <w:dstrike w:val="0"/>
        <w:color w:val="000000"/>
        <w:sz w:val="28"/>
        <w:szCs w:val="28"/>
        <w:u w:val="none" w:color="000000"/>
        <w:bdr w:val="none" w:sz="0" w:space="0" w:color="auto"/>
        <w:shd w:val="clear" w:color="auto" w:fill="auto"/>
        <w:vertAlign w:val="baseline"/>
      </w:rPr>
    </w:lvl>
    <w:lvl w:ilvl="1" w:tplc="D39211A6">
      <w:start w:val="2"/>
      <w:numFmt w:val="decimal"/>
      <w:lvlText w:val="%2."/>
      <w:lvlJc w:val="left"/>
      <w:pPr>
        <w:ind w:left="1442"/>
      </w:pPr>
      <w:rPr>
        <w:rFonts w:ascii="Calibri" w:eastAsia="Arial" w:hAnsi="Calibri" w:cs="Calibri" w:hint="default"/>
        <w:b w:val="0"/>
        <w:i w:val="0"/>
        <w:strike w:val="0"/>
        <w:dstrike w:val="0"/>
        <w:color w:val="333333"/>
        <w:sz w:val="28"/>
        <w:szCs w:val="28"/>
        <w:u w:val="none" w:color="000000"/>
        <w:bdr w:val="none" w:sz="0" w:space="0" w:color="auto"/>
        <w:shd w:val="clear" w:color="auto" w:fill="auto"/>
        <w:vertAlign w:val="baseline"/>
      </w:rPr>
    </w:lvl>
    <w:lvl w:ilvl="2" w:tplc="6FBE40A8">
      <w:start w:val="1"/>
      <w:numFmt w:val="lowerLetter"/>
      <w:lvlText w:val="%3."/>
      <w:lvlJc w:val="left"/>
      <w:pPr>
        <w:ind w:left="1867"/>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3" w:tplc="CAD03EB0">
      <w:start w:val="1"/>
      <w:numFmt w:val="decimal"/>
      <w:lvlText w:val="%4"/>
      <w:lvlJc w:val="left"/>
      <w:pPr>
        <w:ind w:left="213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4" w:tplc="6052C5CE">
      <w:start w:val="1"/>
      <w:numFmt w:val="lowerLetter"/>
      <w:lvlText w:val="%5"/>
      <w:lvlJc w:val="left"/>
      <w:pPr>
        <w:ind w:left="285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5" w:tplc="058ABD28">
      <w:start w:val="1"/>
      <w:numFmt w:val="lowerRoman"/>
      <w:lvlText w:val="%6"/>
      <w:lvlJc w:val="left"/>
      <w:pPr>
        <w:ind w:left="357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6" w:tplc="41BC5B96">
      <w:start w:val="1"/>
      <w:numFmt w:val="decimal"/>
      <w:lvlText w:val="%7"/>
      <w:lvlJc w:val="left"/>
      <w:pPr>
        <w:ind w:left="429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7" w:tplc="1222F616">
      <w:start w:val="1"/>
      <w:numFmt w:val="lowerLetter"/>
      <w:lvlText w:val="%8"/>
      <w:lvlJc w:val="left"/>
      <w:pPr>
        <w:ind w:left="501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8" w:tplc="44420A40">
      <w:start w:val="1"/>
      <w:numFmt w:val="lowerRoman"/>
      <w:lvlText w:val="%9"/>
      <w:lvlJc w:val="left"/>
      <w:pPr>
        <w:ind w:left="573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abstractNum>
  <w:abstractNum w:abstractNumId="18" w15:restartNumberingAfterBreak="0">
    <w:nsid w:val="6CB95296"/>
    <w:multiLevelType w:val="hybridMultilevel"/>
    <w:tmpl w:val="B18E42E6"/>
    <w:lvl w:ilvl="0" w:tplc="017C4140">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84795E"/>
    <w:multiLevelType w:val="hybridMultilevel"/>
    <w:tmpl w:val="99E0A5C6"/>
    <w:lvl w:ilvl="0" w:tplc="DA50ED4C">
      <w:start w:val="17"/>
      <w:numFmt w:val="decimal"/>
      <w:lvlText w:val="%1."/>
      <w:lvlJc w:val="left"/>
      <w:pPr>
        <w:ind w:left="1157" w:hanging="590"/>
      </w:pPr>
      <w:rPr>
        <w:rFonts w:ascii="Calibri" w:eastAsia="Arial" w:hAnsi="Calibri" w:cs="Calibri" w:hint="default"/>
        <w:b w:val="0"/>
        <w:i w:val="0"/>
        <w:strike w:val="0"/>
        <w:dstrike w:val="0"/>
        <w:color w:val="000000"/>
        <w:sz w:val="28"/>
        <w:szCs w:val="28"/>
        <w:u w:val="none" w:color="000000"/>
        <w:bdr w:val="none" w:sz="0" w:space="0" w:color="auto"/>
        <w:shd w:val="clear" w:color="auto" w:fill="auto"/>
        <w:vertAlign w:val="baseline"/>
      </w:rPr>
    </w:lvl>
    <w:lvl w:ilvl="1" w:tplc="D39211A6">
      <w:start w:val="2"/>
      <w:numFmt w:val="decimal"/>
      <w:lvlText w:val="%2."/>
      <w:lvlJc w:val="left"/>
      <w:pPr>
        <w:ind w:left="1442"/>
      </w:pPr>
      <w:rPr>
        <w:rFonts w:ascii="Calibri" w:eastAsia="Arial" w:hAnsi="Calibri" w:cs="Calibri" w:hint="default"/>
        <w:b w:val="0"/>
        <w:i w:val="0"/>
        <w:strike w:val="0"/>
        <w:dstrike w:val="0"/>
        <w:color w:val="333333"/>
        <w:sz w:val="28"/>
        <w:szCs w:val="28"/>
        <w:u w:val="none" w:color="000000"/>
        <w:bdr w:val="none" w:sz="0" w:space="0" w:color="auto"/>
        <w:shd w:val="clear" w:color="auto" w:fill="auto"/>
        <w:vertAlign w:val="baseline"/>
      </w:rPr>
    </w:lvl>
    <w:lvl w:ilvl="2" w:tplc="6FBE40A8">
      <w:start w:val="1"/>
      <w:numFmt w:val="lowerLetter"/>
      <w:lvlText w:val="%3."/>
      <w:lvlJc w:val="left"/>
      <w:pPr>
        <w:ind w:left="1867"/>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3" w:tplc="CAD03EB0">
      <w:start w:val="1"/>
      <w:numFmt w:val="decimal"/>
      <w:lvlText w:val="%4"/>
      <w:lvlJc w:val="left"/>
      <w:pPr>
        <w:ind w:left="213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4" w:tplc="6052C5CE">
      <w:start w:val="1"/>
      <w:numFmt w:val="lowerLetter"/>
      <w:lvlText w:val="%5"/>
      <w:lvlJc w:val="left"/>
      <w:pPr>
        <w:ind w:left="285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5" w:tplc="058ABD28">
      <w:start w:val="1"/>
      <w:numFmt w:val="lowerRoman"/>
      <w:lvlText w:val="%6"/>
      <w:lvlJc w:val="left"/>
      <w:pPr>
        <w:ind w:left="357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6" w:tplc="41BC5B96">
      <w:start w:val="1"/>
      <w:numFmt w:val="decimal"/>
      <w:lvlText w:val="%7"/>
      <w:lvlJc w:val="left"/>
      <w:pPr>
        <w:ind w:left="429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7" w:tplc="1222F616">
      <w:start w:val="1"/>
      <w:numFmt w:val="lowerLetter"/>
      <w:lvlText w:val="%8"/>
      <w:lvlJc w:val="left"/>
      <w:pPr>
        <w:ind w:left="501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lvl w:ilvl="8" w:tplc="44420A40">
      <w:start w:val="1"/>
      <w:numFmt w:val="lowerRoman"/>
      <w:lvlText w:val="%9"/>
      <w:lvlJc w:val="left"/>
      <w:pPr>
        <w:ind w:left="5736"/>
      </w:pPr>
      <w:rPr>
        <w:rFonts w:ascii="Arial" w:eastAsia="Arial" w:hAnsi="Arial" w:cs="Arial"/>
        <w:b/>
        <w:bCs/>
        <w:i w:val="0"/>
        <w:strike w:val="0"/>
        <w:dstrike w:val="0"/>
        <w:color w:val="333333"/>
        <w:sz w:val="20"/>
        <w:szCs w:val="20"/>
        <w:u w:val="none" w:color="000000"/>
        <w:bdr w:val="none" w:sz="0" w:space="0" w:color="auto"/>
        <w:shd w:val="clear" w:color="auto" w:fill="auto"/>
        <w:vertAlign w:val="baseline"/>
      </w:rPr>
    </w:lvl>
  </w:abstractNum>
  <w:num w:numId="1">
    <w:abstractNumId w:val="14"/>
  </w:num>
  <w:num w:numId="2">
    <w:abstractNumId w:val="12"/>
  </w:num>
  <w:num w:numId="3">
    <w:abstractNumId w:val="1"/>
  </w:num>
  <w:num w:numId="4">
    <w:abstractNumId w:val="18"/>
  </w:num>
  <w:num w:numId="5">
    <w:abstractNumId w:val="15"/>
  </w:num>
  <w:num w:numId="6">
    <w:abstractNumId w:val="2"/>
  </w:num>
  <w:num w:numId="7">
    <w:abstractNumId w:val="7"/>
  </w:num>
  <w:num w:numId="8">
    <w:abstractNumId w:val="9"/>
  </w:num>
  <w:num w:numId="9">
    <w:abstractNumId w:val="8"/>
  </w:num>
  <w:num w:numId="10">
    <w:abstractNumId w:val="0"/>
  </w:num>
  <w:num w:numId="11">
    <w:abstractNumId w:val="4"/>
  </w:num>
  <w:num w:numId="12">
    <w:abstractNumId w:val="6"/>
  </w:num>
  <w:num w:numId="13">
    <w:abstractNumId w:val="16"/>
  </w:num>
  <w:num w:numId="14">
    <w:abstractNumId w:val="11"/>
  </w:num>
  <w:num w:numId="15">
    <w:abstractNumId w:val="5"/>
  </w:num>
  <w:num w:numId="16">
    <w:abstractNumId w:val="13"/>
  </w:num>
  <w:num w:numId="17">
    <w:abstractNumId w:val="19"/>
  </w:num>
  <w:num w:numId="18">
    <w:abstractNumId w:val="10"/>
  </w:num>
  <w:num w:numId="19">
    <w:abstractNumId w:val="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61DB"/>
    <w:rsid w:val="000018D3"/>
    <w:rsid w:val="00003C57"/>
    <w:rsid w:val="000065BA"/>
    <w:rsid w:val="00016174"/>
    <w:rsid w:val="00033848"/>
    <w:rsid w:val="00037362"/>
    <w:rsid w:val="00042F17"/>
    <w:rsid w:val="0006497E"/>
    <w:rsid w:val="00064B8E"/>
    <w:rsid w:val="00073FBB"/>
    <w:rsid w:val="00074921"/>
    <w:rsid w:val="00085215"/>
    <w:rsid w:val="000A30F0"/>
    <w:rsid w:val="000B2786"/>
    <w:rsid w:val="000D4B84"/>
    <w:rsid w:val="000F1860"/>
    <w:rsid w:val="001149D9"/>
    <w:rsid w:val="001218D5"/>
    <w:rsid w:val="00123228"/>
    <w:rsid w:val="001324BF"/>
    <w:rsid w:val="0014600E"/>
    <w:rsid w:val="00152FBA"/>
    <w:rsid w:val="00190A72"/>
    <w:rsid w:val="00190FAB"/>
    <w:rsid w:val="001A1D0B"/>
    <w:rsid w:val="001A5679"/>
    <w:rsid w:val="001A6547"/>
    <w:rsid w:val="001B2F11"/>
    <w:rsid w:val="001B791E"/>
    <w:rsid w:val="001C68A0"/>
    <w:rsid w:val="001D61DB"/>
    <w:rsid w:val="001F7AA2"/>
    <w:rsid w:val="0020004D"/>
    <w:rsid w:val="00200978"/>
    <w:rsid w:val="00203EE3"/>
    <w:rsid w:val="00207679"/>
    <w:rsid w:val="00220BC2"/>
    <w:rsid w:val="00223DF4"/>
    <w:rsid w:val="00226D16"/>
    <w:rsid w:val="00227935"/>
    <w:rsid w:val="00243B37"/>
    <w:rsid w:val="00251371"/>
    <w:rsid w:val="0025398F"/>
    <w:rsid w:val="002560DB"/>
    <w:rsid w:val="00272B10"/>
    <w:rsid w:val="00275471"/>
    <w:rsid w:val="0028214B"/>
    <w:rsid w:val="00286F1E"/>
    <w:rsid w:val="002940E1"/>
    <w:rsid w:val="002977FE"/>
    <w:rsid w:val="002A7475"/>
    <w:rsid w:val="002B0C79"/>
    <w:rsid w:val="002B5E18"/>
    <w:rsid w:val="002C69AC"/>
    <w:rsid w:val="002D3CFE"/>
    <w:rsid w:val="002E17B7"/>
    <w:rsid w:val="002E3692"/>
    <w:rsid w:val="00311038"/>
    <w:rsid w:val="00321390"/>
    <w:rsid w:val="00346140"/>
    <w:rsid w:val="00373819"/>
    <w:rsid w:val="00381FD9"/>
    <w:rsid w:val="00391EC7"/>
    <w:rsid w:val="003A3FC5"/>
    <w:rsid w:val="003B0BC5"/>
    <w:rsid w:val="003B3A94"/>
    <w:rsid w:val="003B4690"/>
    <w:rsid w:val="003B57A6"/>
    <w:rsid w:val="003B62EC"/>
    <w:rsid w:val="003C357E"/>
    <w:rsid w:val="00414C43"/>
    <w:rsid w:val="00417176"/>
    <w:rsid w:val="00420956"/>
    <w:rsid w:val="004232CB"/>
    <w:rsid w:val="004405FE"/>
    <w:rsid w:val="00441C3A"/>
    <w:rsid w:val="00443954"/>
    <w:rsid w:val="00445021"/>
    <w:rsid w:val="00446E9D"/>
    <w:rsid w:val="004611C0"/>
    <w:rsid w:val="004A0AE2"/>
    <w:rsid w:val="004A0E99"/>
    <w:rsid w:val="004B09F4"/>
    <w:rsid w:val="004B3BE0"/>
    <w:rsid w:val="004C29B8"/>
    <w:rsid w:val="004D36D6"/>
    <w:rsid w:val="005309F1"/>
    <w:rsid w:val="00531C57"/>
    <w:rsid w:val="00537C21"/>
    <w:rsid w:val="00540B9F"/>
    <w:rsid w:val="005446B7"/>
    <w:rsid w:val="00555BF2"/>
    <w:rsid w:val="00561A10"/>
    <w:rsid w:val="00567DFF"/>
    <w:rsid w:val="0058029C"/>
    <w:rsid w:val="00585194"/>
    <w:rsid w:val="00594413"/>
    <w:rsid w:val="005A0540"/>
    <w:rsid w:val="005A0553"/>
    <w:rsid w:val="005C6E34"/>
    <w:rsid w:val="005D3BB2"/>
    <w:rsid w:val="005E2C28"/>
    <w:rsid w:val="005E3AB5"/>
    <w:rsid w:val="005E5F9E"/>
    <w:rsid w:val="005F600F"/>
    <w:rsid w:val="006123CB"/>
    <w:rsid w:val="00614D04"/>
    <w:rsid w:val="00622C21"/>
    <w:rsid w:val="006232E1"/>
    <w:rsid w:val="00635B82"/>
    <w:rsid w:val="0063615B"/>
    <w:rsid w:val="006637C9"/>
    <w:rsid w:val="00663FFA"/>
    <w:rsid w:val="00672673"/>
    <w:rsid w:val="006961FF"/>
    <w:rsid w:val="006A2C91"/>
    <w:rsid w:val="006B72BA"/>
    <w:rsid w:val="006B7916"/>
    <w:rsid w:val="006C1D0D"/>
    <w:rsid w:val="006C69D4"/>
    <w:rsid w:val="006C6E72"/>
    <w:rsid w:val="006E178A"/>
    <w:rsid w:val="006F1592"/>
    <w:rsid w:val="006F53B6"/>
    <w:rsid w:val="00703D37"/>
    <w:rsid w:val="00705A24"/>
    <w:rsid w:val="007333F2"/>
    <w:rsid w:val="0073342D"/>
    <w:rsid w:val="00744DD9"/>
    <w:rsid w:val="00750096"/>
    <w:rsid w:val="00750312"/>
    <w:rsid w:val="00765EF2"/>
    <w:rsid w:val="00781072"/>
    <w:rsid w:val="00791404"/>
    <w:rsid w:val="007A4AAF"/>
    <w:rsid w:val="0080471C"/>
    <w:rsid w:val="0081160B"/>
    <w:rsid w:val="008220A5"/>
    <w:rsid w:val="00822924"/>
    <w:rsid w:val="008301D5"/>
    <w:rsid w:val="008336D6"/>
    <w:rsid w:val="00863755"/>
    <w:rsid w:val="00867662"/>
    <w:rsid w:val="0088341D"/>
    <w:rsid w:val="008931FC"/>
    <w:rsid w:val="008A2FAD"/>
    <w:rsid w:val="008B3127"/>
    <w:rsid w:val="008C3470"/>
    <w:rsid w:val="008C5D4B"/>
    <w:rsid w:val="008C5DCE"/>
    <w:rsid w:val="008C68D0"/>
    <w:rsid w:val="00933AA9"/>
    <w:rsid w:val="00941778"/>
    <w:rsid w:val="00952B6E"/>
    <w:rsid w:val="00954CD5"/>
    <w:rsid w:val="00962E65"/>
    <w:rsid w:val="00974A07"/>
    <w:rsid w:val="00981CD7"/>
    <w:rsid w:val="00983C48"/>
    <w:rsid w:val="009947CA"/>
    <w:rsid w:val="009B255A"/>
    <w:rsid w:val="009B2D53"/>
    <w:rsid w:val="009C1963"/>
    <w:rsid w:val="009E01DB"/>
    <w:rsid w:val="00A020D9"/>
    <w:rsid w:val="00A15D44"/>
    <w:rsid w:val="00A20275"/>
    <w:rsid w:val="00A23C0B"/>
    <w:rsid w:val="00A353C9"/>
    <w:rsid w:val="00A42EE2"/>
    <w:rsid w:val="00A61F8C"/>
    <w:rsid w:val="00A62041"/>
    <w:rsid w:val="00A8411B"/>
    <w:rsid w:val="00AD3B37"/>
    <w:rsid w:val="00AE61CE"/>
    <w:rsid w:val="00B12D51"/>
    <w:rsid w:val="00B16B67"/>
    <w:rsid w:val="00B2280F"/>
    <w:rsid w:val="00B24F93"/>
    <w:rsid w:val="00B32D5A"/>
    <w:rsid w:val="00B41C7E"/>
    <w:rsid w:val="00B44A52"/>
    <w:rsid w:val="00B5421A"/>
    <w:rsid w:val="00B57D95"/>
    <w:rsid w:val="00B62358"/>
    <w:rsid w:val="00B6462F"/>
    <w:rsid w:val="00B65851"/>
    <w:rsid w:val="00B723FE"/>
    <w:rsid w:val="00B744EF"/>
    <w:rsid w:val="00B90A6C"/>
    <w:rsid w:val="00B90E4D"/>
    <w:rsid w:val="00BB07BF"/>
    <w:rsid w:val="00BB613B"/>
    <w:rsid w:val="00BB75F8"/>
    <w:rsid w:val="00BE558A"/>
    <w:rsid w:val="00BF1A41"/>
    <w:rsid w:val="00BF4698"/>
    <w:rsid w:val="00BF4883"/>
    <w:rsid w:val="00BF5E27"/>
    <w:rsid w:val="00C1143E"/>
    <w:rsid w:val="00C426B6"/>
    <w:rsid w:val="00C518D9"/>
    <w:rsid w:val="00C51EFC"/>
    <w:rsid w:val="00C5667A"/>
    <w:rsid w:val="00C60B57"/>
    <w:rsid w:val="00C835D5"/>
    <w:rsid w:val="00C92B90"/>
    <w:rsid w:val="00CA64FB"/>
    <w:rsid w:val="00CB3E1E"/>
    <w:rsid w:val="00CB633C"/>
    <w:rsid w:val="00CB78F9"/>
    <w:rsid w:val="00CC7AC1"/>
    <w:rsid w:val="00CD13B6"/>
    <w:rsid w:val="00CE1016"/>
    <w:rsid w:val="00CE39D2"/>
    <w:rsid w:val="00CF2CE6"/>
    <w:rsid w:val="00D15307"/>
    <w:rsid w:val="00D2305F"/>
    <w:rsid w:val="00D474D1"/>
    <w:rsid w:val="00D520A4"/>
    <w:rsid w:val="00D531E6"/>
    <w:rsid w:val="00D56D24"/>
    <w:rsid w:val="00D622D5"/>
    <w:rsid w:val="00D63411"/>
    <w:rsid w:val="00D8116D"/>
    <w:rsid w:val="00D87814"/>
    <w:rsid w:val="00DA6F8E"/>
    <w:rsid w:val="00DB2709"/>
    <w:rsid w:val="00DD2145"/>
    <w:rsid w:val="00DD3F96"/>
    <w:rsid w:val="00DE66A2"/>
    <w:rsid w:val="00DF7563"/>
    <w:rsid w:val="00E21EDB"/>
    <w:rsid w:val="00E2679D"/>
    <w:rsid w:val="00E3018B"/>
    <w:rsid w:val="00E31C4D"/>
    <w:rsid w:val="00E32D29"/>
    <w:rsid w:val="00E367D0"/>
    <w:rsid w:val="00E53F14"/>
    <w:rsid w:val="00E72954"/>
    <w:rsid w:val="00E76790"/>
    <w:rsid w:val="00E81319"/>
    <w:rsid w:val="00E86EA8"/>
    <w:rsid w:val="00E97702"/>
    <w:rsid w:val="00EA33B9"/>
    <w:rsid w:val="00EC4938"/>
    <w:rsid w:val="00EE52C4"/>
    <w:rsid w:val="00EF24B4"/>
    <w:rsid w:val="00F400F7"/>
    <w:rsid w:val="00F41F3A"/>
    <w:rsid w:val="00F502F8"/>
    <w:rsid w:val="00F55839"/>
    <w:rsid w:val="00F6297B"/>
    <w:rsid w:val="00F708D8"/>
    <w:rsid w:val="00F835D7"/>
    <w:rsid w:val="00F9384C"/>
    <w:rsid w:val="00F95E87"/>
    <w:rsid w:val="00FA1E24"/>
    <w:rsid w:val="00FB2E15"/>
    <w:rsid w:val="00FB60EE"/>
    <w:rsid w:val="00FD5CD5"/>
    <w:rsid w:val="00FE43BB"/>
    <w:rsid w:val="00FE4913"/>
    <w:rsid w:val="00FF0FCF"/>
    <w:rsid w:val="00FF3A26"/>
    <w:rsid w:val="00FF3A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774D7B"/>
  <w15:chartTrackingRefBased/>
  <w15:docId w15:val="{E1CFE05A-5FF0-4269-974A-FA7695D54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E86EA8"/>
    <w:pPr>
      <w:tabs>
        <w:tab w:val="center" w:pos="4536"/>
        <w:tab w:val="right" w:pos="9072"/>
      </w:tabs>
    </w:pPr>
  </w:style>
  <w:style w:type="paragraph" w:styleId="Voettekst">
    <w:name w:val="footer"/>
    <w:basedOn w:val="Standaard"/>
    <w:link w:val="VoettekstChar"/>
    <w:uiPriority w:val="99"/>
    <w:rsid w:val="00E86EA8"/>
    <w:pPr>
      <w:tabs>
        <w:tab w:val="center" w:pos="4536"/>
        <w:tab w:val="right" w:pos="9072"/>
      </w:tabs>
    </w:pPr>
  </w:style>
  <w:style w:type="paragraph" w:styleId="Ballontekst">
    <w:name w:val="Balloon Text"/>
    <w:basedOn w:val="Standaard"/>
    <w:semiHidden/>
    <w:rsid w:val="00F41F3A"/>
    <w:rPr>
      <w:rFonts w:ascii="Tahoma" w:hAnsi="Tahoma" w:cs="Tahoma"/>
      <w:sz w:val="16"/>
      <w:szCs w:val="16"/>
    </w:rPr>
  </w:style>
  <w:style w:type="character" w:customStyle="1" w:styleId="VoettekstChar">
    <w:name w:val="Voettekst Char"/>
    <w:link w:val="Voettekst"/>
    <w:uiPriority w:val="99"/>
    <w:rsid w:val="00F708D8"/>
    <w:rPr>
      <w:sz w:val="24"/>
      <w:szCs w:val="24"/>
    </w:rPr>
  </w:style>
  <w:style w:type="character" w:styleId="Hyperlink">
    <w:name w:val="Hyperlink"/>
    <w:rsid w:val="00CB78F9"/>
    <w:rPr>
      <w:color w:val="0000FF"/>
      <w:u w:val="single"/>
    </w:rPr>
  </w:style>
  <w:style w:type="character" w:customStyle="1" w:styleId="tdefault">
    <w:name w:val="t_default"/>
    <w:basedOn w:val="Standaardalinea-lettertype"/>
    <w:rsid w:val="008B3127"/>
  </w:style>
  <w:style w:type="paragraph" w:styleId="Voetnoottekst">
    <w:name w:val="footnote text"/>
    <w:basedOn w:val="Standaard"/>
    <w:link w:val="VoetnoottekstChar"/>
    <w:rsid w:val="008B3127"/>
    <w:rPr>
      <w:sz w:val="20"/>
      <w:szCs w:val="20"/>
    </w:rPr>
  </w:style>
  <w:style w:type="character" w:customStyle="1" w:styleId="VoetnoottekstChar">
    <w:name w:val="Voetnoottekst Char"/>
    <w:basedOn w:val="Standaardalinea-lettertype"/>
    <w:link w:val="Voetnoottekst"/>
    <w:rsid w:val="008B3127"/>
  </w:style>
  <w:style w:type="character" w:styleId="Voetnootmarkering">
    <w:name w:val="footnote reference"/>
    <w:rsid w:val="008B3127"/>
    <w:rPr>
      <w:vertAlign w:val="superscript"/>
    </w:rPr>
  </w:style>
  <w:style w:type="paragraph" w:customStyle="1" w:styleId="Default">
    <w:name w:val="Default"/>
    <w:rsid w:val="008B3127"/>
    <w:pPr>
      <w:autoSpaceDE w:val="0"/>
      <w:autoSpaceDN w:val="0"/>
      <w:adjustRightInd w:val="0"/>
    </w:pPr>
    <w:rPr>
      <w:color w:val="000000"/>
      <w:sz w:val="24"/>
      <w:szCs w:val="24"/>
    </w:rPr>
  </w:style>
  <w:style w:type="paragraph" w:styleId="Lijstalinea">
    <w:name w:val="List Paragraph"/>
    <w:basedOn w:val="Standaard"/>
    <w:uiPriority w:val="34"/>
    <w:qFormat/>
    <w:rsid w:val="008B3127"/>
    <w:pPr>
      <w:ind w:left="720"/>
      <w:contextualSpacing/>
    </w:pPr>
  </w:style>
  <w:style w:type="paragraph" w:styleId="Normaalweb">
    <w:name w:val="Normal (Web)"/>
    <w:basedOn w:val="Standaard"/>
    <w:uiPriority w:val="99"/>
    <w:unhideWhenUsed/>
    <w:rsid w:val="006F53B6"/>
    <w:pPr>
      <w:spacing w:before="100" w:beforeAutospacing="1" w:after="100" w:afterAutospacing="1"/>
    </w:pPr>
    <w:rPr>
      <w:lang w:val="de-DE" w:eastAsia="de-DE"/>
    </w:rPr>
  </w:style>
  <w:style w:type="character" w:customStyle="1" w:styleId="apple-converted-space">
    <w:name w:val="apple-converted-space"/>
    <w:rsid w:val="006F53B6"/>
  </w:style>
  <w:style w:type="character" w:customStyle="1" w:styleId="hl1">
    <w:name w:val="hl1"/>
    <w:rsid w:val="006F53B6"/>
  </w:style>
  <w:style w:type="paragraph" w:customStyle="1" w:styleId="xmsonormal">
    <w:name w:val="x_msonormal"/>
    <w:basedOn w:val="Standaard"/>
    <w:rsid w:val="001D61DB"/>
    <w:pPr>
      <w:spacing w:before="100" w:beforeAutospacing="1" w:after="100" w:afterAutospacing="1"/>
    </w:pPr>
  </w:style>
  <w:style w:type="character" w:styleId="Onopgelostemelding">
    <w:name w:val="Unresolved Mention"/>
    <w:uiPriority w:val="99"/>
    <w:semiHidden/>
    <w:unhideWhenUsed/>
    <w:rsid w:val="001D61DB"/>
    <w:rPr>
      <w:color w:val="605E5C"/>
      <w:shd w:val="clear" w:color="auto" w:fill="E1DFDD"/>
    </w:rPr>
  </w:style>
  <w:style w:type="character" w:styleId="Nadruk">
    <w:name w:val="Emphasis"/>
    <w:uiPriority w:val="20"/>
    <w:qFormat/>
    <w:rsid w:val="001D61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estuursrecht.RB-MNL@rechtspraak.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bpoc2020.nl/politieverhor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mea01.safelinks.protection.outlook.com/?url=https%3A%2F%2Fwww.buzz.ie%2Fhealth-fitness%2Fnew-report-finds-outdoor-transmissions-account-for-0-1-of-covid-19-426467&amp;data=04%7C01%7C%7C71bbc7496bd74fc8658908d8face31a0%7C84df9e7fe9f640afb435aaaaaaaaaaaa%7C1%7C0%7C637535110789519852%7CUnknown%7CTWFpbGZsb3d8eyJWIjoiMC4wLjAwMDAiLCJQIjoiV2luMzIiLCJBTiI6Ik1haWwiLCJXVCI6Mn0%3D%7C1000&amp;sdata=RzkwCYl5Z%2Fgj64cn2uy9U0Z8VdD4eareKXFGVbgyWM8%3D&amp;reserved=0" TargetMode="External"/><Relationship Id="rId2" Type="http://schemas.openxmlformats.org/officeDocument/2006/relationships/hyperlink" Target="https://emea01.safelinks.protection.outlook.com/?url=https%3A%2F%2Fdrive.google.com%2Ffile%2Fd%2F1r9UTIdh_DTHHmq-2Rxz5curdHeN3SM5k%2Fview&amp;data=04%7C01%7C%7C71bbc7496bd74fc8658908d8face31a0%7C84df9e7fe9f640afb435aaaaaaaaaaaa%7C1%7C0%7C637535110789519852%7CUnknown%7CTWFpbGZsb3d8eyJWIjoiMC4wLjAwMDAiLCJQIjoiV2luMzIiLCJBTiI6Ik1haWwiLCJXVCI6Mn0%3D%7C1000&amp;sdata=iX9l1GtUVL%2Fdht4WZ%2B5XNg2IVpVH9PI8SN%2BDHpdMq6s%3D&amp;reserved=0" TargetMode="External"/><Relationship Id="rId1" Type="http://schemas.openxmlformats.org/officeDocument/2006/relationships/hyperlink" Target="https://emea01.safelinks.protection.outlook.com/?url=https%3A%2F%2Fwww.researchgate.net%2Fpublication%2F344814101_Rapid_Scoping_Review_of_Evidence_of_Outdoor_Transmission_of_COVID-19&amp;data=04%7C01%7C%7C71bbc7496bd74fc8658908d8face31a0%7C84df9e7fe9f640afb435aaaaaaaaaaaa%7C1%7C0%7C637535110789509899%7CUnknown%7CTWFpbGZsb3d8eyJWIjoiMC4wLjAwMDAiLCJQIjoiV2luMzIiLCJBTiI6Ik1haWwiLCJXVCI6Mn0%3D%7C1000&amp;sdata=0fMaz0PH%2FzuGsfP9xfW4K4WiaiCHOJt8W76o5cBObUI%3D&amp;reserved=0" TargetMode="External"/><Relationship Id="rId4" Type="http://schemas.openxmlformats.org/officeDocument/2006/relationships/hyperlink" Target="https://jamanetwork.com/journals/jama/fullarticle/27620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roe\OneDrive\Documenten\documenten%20Duitsland\voorlopige%20voorziening%20demonstratie%202.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07843-C7C2-416D-9649-9ACA4DA53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voorlopige voorziening demonstratie 2</Template>
  <TotalTime>1</TotalTime>
  <Pages>14</Pages>
  <Words>3460</Words>
  <Characters>19030</Characters>
  <Application>Microsoft Office Word</Application>
  <DocSecurity>0</DocSecurity>
  <Lines>158</Lines>
  <Paragraphs>44</Paragraphs>
  <ScaleCrop>false</ScaleCrop>
  <HeadingPairs>
    <vt:vector size="4" baseType="variant">
      <vt:variant>
        <vt:lpstr>Titel</vt:lpstr>
      </vt:variant>
      <vt:variant>
        <vt:i4>1</vt:i4>
      </vt:variant>
      <vt:variant>
        <vt:lpstr>Cím</vt:lpstr>
      </vt:variant>
      <vt:variant>
        <vt:i4>1</vt:i4>
      </vt:variant>
    </vt:vector>
  </HeadingPairs>
  <TitlesOfParts>
    <vt:vector size="2" baseType="lpstr">
      <vt:lpstr>AANTEKENEN</vt:lpstr>
      <vt:lpstr>AANTEKENEN</vt:lpstr>
    </vt:vector>
  </TitlesOfParts>
  <Company>HP</Company>
  <LinksUpToDate>false</LinksUpToDate>
  <CharactersWithSpaces>22446</CharactersWithSpaces>
  <SharedDoc>false</SharedDoc>
  <HLinks>
    <vt:vector size="12" baseType="variant">
      <vt:variant>
        <vt:i4>1507436</vt:i4>
      </vt:variant>
      <vt:variant>
        <vt:i4>3</vt:i4>
      </vt:variant>
      <vt:variant>
        <vt:i4>0</vt:i4>
      </vt:variant>
      <vt:variant>
        <vt:i4>5</vt:i4>
      </vt:variant>
      <vt:variant>
        <vt:lpwstr>https://www.youtube.com/watch?v=QOL_wDyY0ew</vt:lpwstr>
      </vt:variant>
      <vt:variant>
        <vt:lpwstr/>
      </vt:variant>
      <vt:variant>
        <vt:i4>6946902</vt:i4>
      </vt:variant>
      <vt:variant>
        <vt:i4>0</vt:i4>
      </vt:variant>
      <vt:variant>
        <vt:i4>0</vt:i4>
      </vt:variant>
      <vt:variant>
        <vt:i4>5</vt:i4>
      </vt:variant>
      <vt:variant>
        <vt:lpwstr>https://wetten.overheid.nl/BWBR0004318/2010-10-10</vt:lpwstr>
      </vt:variant>
      <vt:variant>
        <vt:lpwstr>ParagraafII_Artikel2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AANTEKENEN</dc:title>
  <dc:subject/>
  <dc:creator>Jeroen Pols</dc:creator>
  <cp:keywords/>
  <cp:lastModifiedBy>mr. Jeroen S. Pols</cp:lastModifiedBy>
  <cp:revision>2</cp:revision>
  <cp:lastPrinted>2021-04-09T08:33:00Z</cp:lastPrinted>
  <dcterms:created xsi:type="dcterms:W3CDTF">2021-04-10T12:41:00Z</dcterms:created>
  <dcterms:modified xsi:type="dcterms:W3CDTF">2021-04-10T12:41:00Z</dcterms:modified>
</cp:coreProperties>
</file>